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2AEC" w14:textId="77777777" w:rsidR="0079156E" w:rsidRDefault="008F3172" w:rsidP="001F7073">
      <w:pPr>
        <w:spacing w:after="0" w:line="240" w:lineRule="auto"/>
        <w:jc w:val="center"/>
        <w:rPr>
          <w:b/>
          <w:sz w:val="36"/>
          <w:szCs w:val="36"/>
        </w:rPr>
      </w:pPr>
      <w:r w:rsidRPr="008B514C">
        <w:rPr>
          <w:b/>
          <w:sz w:val="36"/>
          <w:szCs w:val="36"/>
        </w:rPr>
        <w:t>GENERAL RECORDS SCHEDULE</w:t>
      </w:r>
      <w:r w:rsidR="00DC68B5" w:rsidRPr="008B514C">
        <w:rPr>
          <w:b/>
          <w:sz w:val="36"/>
          <w:szCs w:val="36"/>
        </w:rPr>
        <w:t xml:space="preserve"> </w:t>
      </w:r>
      <w:r w:rsidR="00A0513D">
        <w:rPr>
          <w:b/>
          <w:sz w:val="36"/>
          <w:szCs w:val="36"/>
        </w:rPr>
        <w:t>1.3</w:t>
      </w:r>
      <w:r w:rsidR="00DC68B5" w:rsidRPr="008B514C">
        <w:rPr>
          <w:b/>
          <w:sz w:val="36"/>
          <w:szCs w:val="36"/>
        </w:rPr>
        <w:t xml:space="preserve">:  </w:t>
      </w:r>
      <w:r w:rsidR="00A0513D">
        <w:rPr>
          <w:b/>
          <w:sz w:val="36"/>
          <w:szCs w:val="36"/>
        </w:rPr>
        <w:t>Budgeting</w:t>
      </w:r>
      <w:r w:rsidR="00DC68B5" w:rsidRPr="008B514C">
        <w:rPr>
          <w:b/>
          <w:sz w:val="36"/>
          <w:szCs w:val="36"/>
        </w:rPr>
        <w:t xml:space="preserve"> Records</w:t>
      </w:r>
    </w:p>
    <w:p w14:paraId="74F57BAB" w14:textId="77777777" w:rsidR="00552BD0" w:rsidRPr="0048388D" w:rsidRDefault="00552BD0" w:rsidP="00DC68B5">
      <w:pPr>
        <w:spacing w:after="0" w:line="240" w:lineRule="auto"/>
        <w:rPr>
          <w:sz w:val="20"/>
          <w:szCs w:val="20"/>
        </w:rPr>
      </w:pPr>
    </w:p>
    <w:p w14:paraId="08964A75" w14:textId="1FC57A62" w:rsidR="00561B4B" w:rsidRPr="0048388D" w:rsidRDefault="00561B4B" w:rsidP="00561B4B">
      <w:pPr>
        <w:autoSpaceDE w:val="0"/>
        <w:autoSpaceDN w:val="0"/>
        <w:adjustRightInd w:val="0"/>
        <w:spacing w:after="0" w:line="240" w:lineRule="auto"/>
      </w:pPr>
      <w:r w:rsidRPr="0048388D">
        <w:rPr>
          <w:rFonts w:cs="Calibri"/>
          <w:color w:val="000000"/>
        </w:rPr>
        <w:t xml:space="preserve">Budgeting involves determining priorities for spending, forecasting future needs and related expenditures, and distributing budget authority to achieve results consistent with the formulated budget.  </w:t>
      </w:r>
      <w:r w:rsidRPr="0048388D">
        <w:t xml:space="preserve"> This </w:t>
      </w:r>
      <w:r w:rsidR="001168D5" w:rsidRPr="0048388D">
        <w:t xml:space="preserve">process </w:t>
      </w:r>
      <w:r w:rsidRPr="0048388D">
        <w:t xml:space="preserve">includes records </w:t>
      </w:r>
      <w:r w:rsidR="00D96A91">
        <w:t xml:space="preserve">that document: </w:t>
      </w:r>
      <w:r w:rsidR="00D96A91" w:rsidRPr="0048388D">
        <w:t xml:space="preserve"> </w:t>
      </w:r>
      <w:r w:rsidR="00D96A91">
        <w:t xml:space="preserve">formulating a </w:t>
      </w:r>
      <w:r w:rsidRPr="0048388D">
        <w:t xml:space="preserve">budget </w:t>
      </w:r>
      <w:r w:rsidR="00D96A91">
        <w:t>to submit to</w:t>
      </w:r>
      <w:r w:rsidR="00D96A91" w:rsidRPr="0048388D">
        <w:t xml:space="preserve"> </w:t>
      </w:r>
      <w:r w:rsidRPr="0048388D">
        <w:t xml:space="preserve">the Office of Management and Budget (OMB) and Congress; </w:t>
      </w:r>
      <w:r w:rsidR="00D96A91" w:rsidRPr="0048388D">
        <w:t>defen</w:t>
      </w:r>
      <w:r w:rsidR="00D96A91">
        <w:t>ding</w:t>
      </w:r>
      <w:r w:rsidR="00D96A91" w:rsidRPr="0048388D">
        <w:t xml:space="preserve"> </w:t>
      </w:r>
      <w:r w:rsidRPr="0048388D">
        <w:t>requests for funds before both bodies; and</w:t>
      </w:r>
      <w:r w:rsidR="002B0E52">
        <w:t>,</w:t>
      </w:r>
      <w:r w:rsidRPr="0048388D">
        <w:t xml:space="preserve"> after</w:t>
      </w:r>
      <w:r w:rsidR="002B0E52">
        <w:t xml:space="preserve"> Congress enacts</w:t>
      </w:r>
      <w:r w:rsidRPr="0048388D">
        <w:t xml:space="preserve"> an appropriation</w:t>
      </w:r>
      <w:r w:rsidR="00230EB8">
        <w:t>s</w:t>
      </w:r>
      <w:r w:rsidRPr="0048388D">
        <w:t xml:space="preserve"> bill, </w:t>
      </w:r>
      <w:r w:rsidR="00230EB8">
        <w:t xml:space="preserve">properly </w:t>
      </w:r>
      <w:r w:rsidRPr="0048388D">
        <w:t>us</w:t>
      </w:r>
      <w:r w:rsidR="00D96A91">
        <w:t>ing</w:t>
      </w:r>
      <w:r w:rsidRPr="0048388D">
        <w:t xml:space="preserve"> funds </w:t>
      </w:r>
      <w:r w:rsidR="00D96A91">
        <w:t>throughout</w:t>
      </w:r>
      <w:r w:rsidRPr="0048388D">
        <w:t xml:space="preserve"> the </w:t>
      </w:r>
      <w:proofErr w:type="gramStart"/>
      <w:r w:rsidR="00230EB8">
        <w:t>period of time</w:t>
      </w:r>
      <w:proofErr w:type="gramEnd"/>
      <w:r w:rsidR="00230EB8">
        <w:t xml:space="preserve"> covered by the agency’s </w:t>
      </w:r>
      <w:r w:rsidRPr="0048388D">
        <w:t>appropriation</w:t>
      </w:r>
      <w:r w:rsidR="00D96A91">
        <w:t>s</w:t>
      </w:r>
      <w:r w:rsidRPr="0048388D">
        <w:t>.</w:t>
      </w:r>
    </w:p>
    <w:p w14:paraId="08B31D62" w14:textId="77777777" w:rsidR="00561B4B" w:rsidRPr="0048388D" w:rsidRDefault="00561B4B" w:rsidP="00561B4B">
      <w:pPr>
        <w:autoSpaceDE w:val="0"/>
        <w:autoSpaceDN w:val="0"/>
        <w:adjustRightInd w:val="0"/>
        <w:spacing w:after="0" w:line="240" w:lineRule="auto"/>
      </w:pPr>
    </w:p>
    <w:p w14:paraId="5A7AF8E4" w14:textId="75F4B24D" w:rsidR="00AC1799" w:rsidRPr="0048388D" w:rsidRDefault="00D96A91" w:rsidP="00B17295">
      <w:pPr>
        <w:autoSpaceDE w:val="0"/>
        <w:autoSpaceDN w:val="0"/>
        <w:adjustRightInd w:val="0"/>
        <w:spacing w:after="0" w:line="240" w:lineRule="auto"/>
        <w:rPr>
          <w:rFonts w:cs="Calibri"/>
          <w:color w:val="000000"/>
        </w:rPr>
      </w:pPr>
      <w:r>
        <w:t>Agencies create b</w:t>
      </w:r>
      <w:r w:rsidR="00561B4B" w:rsidRPr="0048388D">
        <w:t xml:space="preserve">udget records at all </w:t>
      </w:r>
      <w:r>
        <w:t xml:space="preserve">organizational </w:t>
      </w:r>
      <w:r w:rsidR="00561B4B" w:rsidRPr="0048388D">
        <w:t xml:space="preserve">levels. </w:t>
      </w:r>
      <w:r>
        <w:t xml:space="preserve"> </w:t>
      </w:r>
      <w:r w:rsidR="00534BA1">
        <w:t xml:space="preserve"> Single operating units at a</w:t>
      </w:r>
      <w:r w:rsidR="00561B4B" w:rsidRPr="0048388D">
        <w:t xml:space="preserve">ll levels </w:t>
      </w:r>
      <w:r w:rsidR="00534BA1">
        <w:t>create</w:t>
      </w:r>
      <w:r w:rsidR="00D665AF">
        <w:t xml:space="preserve"> </w:t>
      </w:r>
      <w:r w:rsidR="00534BA1">
        <w:t xml:space="preserve">detailed working papers and </w:t>
      </w:r>
      <w:r w:rsidR="00D665AF">
        <w:t xml:space="preserve">budget </w:t>
      </w:r>
      <w:r w:rsidR="00534BA1">
        <w:t>statements</w:t>
      </w:r>
      <w:r w:rsidR="00D665AF">
        <w:t>.</w:t>
      </w:r>
      <w:r w:rsidR="00561B4B" w:rsidRPr="0048388D">
        <w:t xml:space="preserve"> </w:t>
      </w:r>
      <w:r w:rsidR="00534BA1">
        <w:t xml:space="preserve"> </w:t>
      </w:r>
      <w:r>
        <w:t xml:space="preserve">Bureau- or equivalent-level agency units consolidate </w:t>
      </w:r>
      <w:r w:rsidR="00534BA1">
        <w:t xml:space="preserve">these </w:t>
      </w:r>
      <w:r>
        <w:t>d</w:t>
      </w:r>
      <w:r w:rsidRPr="0048388D">
        <w:t xml:space="preserve">etailed </w:t>
      </w:r>
      <w:r w:rsidR="00561B4B" w:rsidRPr="0048388D">
        <w:t xml:space="preserve">work papers and budget statements </w:t>
      </w:r>
      <w:r w:rsidR="00534BA1">
        <w:t xml:space="preserve">into submissions </w:t>
      </w:r>
      <w:r w:rsidR="00561B4B" w:rsidRPr="0048388D">
        <w:t>and forward</w:t>
      </w:r>
      <w:r>
        <w:t xml:space="preserve"> them</w:t>
      </w:r>
      <w:r w:rsidR="00561B4B" w:rsidRPr="0048388D">
        <w:t xml:space="preserve"> to the agency or department budget officer</w:t>
      </w:r>
      <w:r>
        <w:t>, who</w:t>
      </w:r>
      <w:r w:rsidR="00CE2ADA" w:rsidRPr="0048388D">
        <w:t xml:space="preserve"> </w:t>
      </w:r>
      <w:r w:rsidRPr="0048388D">
        <w:t>finaliz</w:t>
      </w:r>
      <w:r>
        <w:t>es</w:t>
      </w:r>
      <w:r w:rsidRPr="0048388D">
        <w:t xml:space="preserve"> </w:t>
      </w:r>
      <w:r w:rsidR="00CE2ADA" w:rsidRPr="0048388D">
        <w:t>and</w:t>
      </w:r>
      <w:r w:rsidR="00561B4B" w:rsidRPr="0048388D">
        <w:t xml:space="preserve"> </w:t>
      </w:r>
      <w:r w:rsidRPr="0048388D">
        <w:t>submi</w:t>
      </w:r>
      <w:r>
        <w:t>ts</w:t>
      </w:r>
      <w:r w:rsidRPr="0048388D">
        <w:t xml:space="preserve"> </w:t>
      </w:r>
      <w:r w:rsidR="00D665AF">
        <w:t xml:space="preserve">them to the White House </w:t>
      </w:r>
      <w:r w:rsidR="00534BA1">
        <w:t>on behalf of</w:t>
      </w:r>
      <w:r w:rsidR="00534BA1" w:rsidRPr="0048388D">
        <w:t xml:space="preserve"> </w:t>
      </w:r>
      <w:r w:rsidR="00561B4B" w:rsidRPr="0048388D">
        <w:t>the entire agency</w:t>
      </w:r>
      <w:r w:rsidR="00CE2ADA" w:rsidRPr="0048388D">
        <w:t xml:space="preserve"> or department</w:t>
      </w:r>
      <w:r w:rsidR="00561B4B" w:rsidRPr="0048388D">
        <w:t xml:space="preserve">.  </w:t>
      </w:r>
      <w:r w:rsidR="00AC1799" w:rsidRPr="0048388D">
        <w:t xml:space="preserve">This schedule covers records </w:t>
      </w:r>
      <w:r w:rsidR="00D665AF">
        <w:t xml:space="preserve">an agency </w:t>
      </w:r>
      <w:r w:rsidR="00AC1799" w:rsidRPr="0048388D">
        <w:t>create</w:t>
      </w:r>
      <w:r w:rsidR="00D665AF">
        <w:t>s</w:t>
      </w:r>
      <w:r w:rsidR="00AC1799" w:rsidRPr="0048388D">
        <w:t xml:space="preserve"> in </w:t>
      </w:r>
      <w:r w:rsidR="00534BA1">
        <w:t>both types of units</w:t>
      </w:r>
      <w:r w:rsidR="00AC1799" w:rsidRPr="0048388D">
        <w:t xml:space="preserve">: (1) offices </w:t>
      </w:r>
      <w:r w:rsidR="00D665AF">
        <w:t>that</w:t>
      </w:r>
      <w:r w:rsidR="00AC1799" w:rsidRPr="0048388D">
        <w:t xml:space="preserve"> </w:t>
      </w:r>
      <w:r w:rsidR="00AC1799" w:rsidRPr="0048388D">
        <w:rPr>
          <w:rFonts w:cs="Calibri"/>
          <w:color w:val="000000"/>
        </w:rPr>
        <w:t>prepar</w:t>
      </w:r>
      <w:r w:rsidR="00D665AF">
        <w:rPr>
          <w:rFonts w:cs="Calibri"/>
          <w:color w:val="000000"/>
        </w:rPr>
        <w:t>e</w:t>
      </w:r>
      <w:r w:rsidR="002B0E52">
        <w:rPr>
          <w:rFonts w:cs="Calibri"/>
          <w:color w:val="000000"/>
        </w:rPr>
        <w:t xml:space="preserve"> and</w:t>
      </w:r>
      <w:r w:rsidR="00AC1799" w:rsidRPr="0048388D">
        <w:rPr>
          <w:rFonts w:cs="Calibri"/>
          <w:color w:val="000000"/>
        </w:rPr>
        <w:t xml:space="preserve"> </w:t>
      </w:r>
      <w:r w:rsidR="00D665AF" w:rsidRPr="0048388D">
        <w:rPr>
          <w:rFonts w:cs="Calibri"/>
          <w:color w:val="000000"/>
        </w:rPr>
        <w:t>manag</w:t>
      </w:r>
      <w:r w:rsidR="00D665AF">
        <w:rPr>
          <w:rFonts w:cs="Calibri"/>
          <w:color w:val="000000"/>
        </w:rPr>
        <w:t>e</w:t>
      </w:r>
      <w:r w:rsidR="00AC1799" w:rsidRPr="0048388D">
        <w:rPr>
          <w:rFonts w:cs="Calibri"/>
          <w:color w:val="000000"/>
        </w:rPr>
        <w:t xml:space="preserve"> an </w:t>
      </w:r>
      <w:r w:rsidR="00561B4B" w:rsidRPr="0048388D">
        <w:rPr>
          <w:rFonts w:cs="Calibri"/>
          <w:color w:val="000000"/>
        </w:rPr>
        <w:t xml:space="preserve">entire </w:t>
      </w:r>
      <w:r w:rsidR="00AC1799" w:rsidRPr="0048388D">
        <w:rPr>
          <w:rFonts w:cs="Calibri"/>
          <w:color w:val="000000"/>
        </w:rPr>
        <w:t>agency’s budget</w:t>
      </w:r>
      <w:r w:rsidR="00962261">
        <w:rPr>
          <w:rFonts w:cs="Calibri"/>
          <w:color w:val="000000"/>
        </w:rPr>
        <w:t xml:space="preserve"> </w:t>
      </w:r>
      <w:r w:rsidR="00D665AF">
        <w:rPr>
          <w:rFonts w:cs="Calibri"/>
          <w:color w:val="000000"/>
        </w:rPr>
        <w:t>and submit it</w:t>
      </w:r>
      <w:r w:rsidR="00962261">
        <w:rPr>
          <w:rFonts w:cs="Calibri"/>
          <w:color w:val="000000"/>
        </w:rPr>
        <w:t xml:space="preserve"> to the </w:t>
      </w:r>
      <w:r w:rsidR="00230EB8">
        <w:rPr>
          <w:rFonts w:cs="Calibri"/>
          <w:color w:val="000000"/>
        </w:rPr>
        <w:t>Office of Management and Budget for consideration by the President</w:t>
      </w:r>
      <w:r w:rsidR="00AC1799" w:rsidRPr="0048388D">
        <w:rPr>
          <w:rFonts w:cs="Calibri"/>
          <w:color w:val="000000"/>
        </w:rPr>
        <w:t xml:space="preserve">, and (2) local offices </w:t>
      </w:r>
      <w:r w:rsidR="00D665AF">
        <w:rPr>
          <w:rFonts w:cs="Calibri"/>
          <w:color w:val="000000"/>
        </w:rPr>
        <w:t>that</w:t>
      </w:r>
      <w:r w:rsidR="00AC1799" w:rsidRPr="0048388D">
        <w:rPr>
          <w:rFonts w:cs="Calibri"/>
          <w:color w:val="000000"/>
        </w:rPr>
        <w:t xml:space="preserve"> </w:t>
      </w:r>
      <w:r w:rsidR="00561B4B" w:rsidRPr="0048388D">
        <w:rPr>
          <w:rFonts w:cs="Calibri"/>
          <w:color w:val="000000"/>
        </w:rPr>
        <w:t xml:space="preserve">request program funding and track expenses </w:t>
      </w:r>
      <w:r w:rsidR="00534BA1">
        <w:rPr>
          <w:rFonts w:cs="Calibri"/>
          <w:color w:val="000000"/>
        </w:rPr>
        <w:t>under</w:t>
      </w:r>
      <w:r w:rsidR="00561B4B" w:rsidRPr="0048388D">
        <w:rPr>
          <w:rFonts w:cs="Calibri"/>
          <w:color w:val="000000"/>
        </w:rPr>
        <w:t xml:space="preserve"> </w:t>
      </w:r>
      <w:r w:rsidR="002F518F" w:rsidRPr="0048388D">
        <w:rPr>
          <w:rFonts w:cs="Calibri"/>
          <w:color w:val="000000"/>
        </w:rPr>
        <w:t xml:space="preserve">their own </w:t>
      </w:r>
      <w:r w:rsidR="00561B4B" w:rsidRPr="0048388D">
        <w:rPr>
          <w:rFonts w:cs="Calibri"/>
          <w:color w:val="000000"/>
        </w:rPr>
        <w:t>approved budgets.</w:t>
      </w:r>
    </w:p>
    <w:p w14:paraId="3AAB16D3" w14:textId="77777777" w:rsidR="00773AA2" w:rsidRPr="0048388D" w:rsidRDefault="00773AA2" w:rsidP="00A0513D">
      <w:pPr>
        <w:spacing w:after="0" w:line="240" w:lineRule="auto"/>
      </w:pPr>
    </w:p>
    <w:p w14:paraId="509767E1" w14:textId="77777777" w:rsidR="006F2233" w:rsidRPr="0048388D" w:rsidRDefault="006F2233" w:rsidP="00A0513D">
      <w:pPr>
        <w:spacing w:after="0" w:line="240" w:lineRule="auto"/>
      </w:pPr>
      <w:r w:rsidRPr="0048388D">
        <w:t xml:space="preserve">Related schedule:  </w:t>
      </w:r>
      <w:r w:rsidR="00534BA1">
        <w:t>An agency reflects its controls over appropriated funds</w:t>
      </w:r>
      <w:r w:rsidRPr="0048388D">
        <w:t xml:space="preserve"> in its expenditure accounting records and detailed expenditure information in the accountable officers’ records, both covered under GRS 1.1</w:t>
      </w:r>
      <w:r w:rsidR="001C7704" w:rsidRPr="0048388D">
        <w:t xml:space="preserve"> (Financial Management and Reporting Records)</w:t>
      </w:r>
      <w:r w:rsidRPr="0048388D">
        <w:t>, item 010.</w:t>
      </w:r>
    </w:p>
    <w:p w14:paraId="5B790AAA" w14:textId="77777777" w:rsidR="006F2233" w:rsidRPr="0048388D" w:rsidRDefault="006F2233" w:rsidP="00A0513D">
      <w:pPr>
        <w:spacing w:after="0" w:line="240" w:lineRule="auto"/>
      </w:pPr>
    </w:p>
    <w:p w14:paraId="4D9AF320" w14:textId="77777777" w:rsidR="00A0513D" w:rsidRPr="00833320" w:rsidRDefault="00A0513D" w:rsidP="00A0513D">
      <w:pPr>
        <w:spacing w:after="0" w:line="240" w:lineRule="auto"/>
      </w:pPr>
      <w:r w:rsidRPr="0048388D">
        <w:t xml:space="preserve">This schedule </w:t>
      </w:r>
      <w:r w:rsidR="008815A2" w:rsidRPr="0048388D">
        <w:t xml:space="preserve">does not apply to records </w:t>
      </w:r>
      <w:r w:rsidR="003E5D6A" w:rsidRPr="0048388D">
        <w:t xml:space="preserve">OMB and the Department of the Treasury </w:t>
      </w:r>
      <w:r w:rsidR="00534BA1">
        <w:t xml:space="preserve">create and hold that </w:t>
      </w:r>
      <w:r w:rsidR="003E5D6A" w:rsidRPr="0048388D">
        <w:t xml:space="preserve">document the </w:t>
      </w:r>
      <w:r w:rsidR="00534BA1">
        <w:t>G</w:t>
      </w:r>
      <w:r w:rsidR="003E5D6A" w:rsidRPr="0048388D">
        <w:t>overnment-wide Federal budget</w:t>
      </w:r>
      <w:r w:rsidR="008815A2" w:rsidRPr="0048388D">
        <w:t xml:space="preserve">.  It </w:t>
      </w:r>
      <w:r w:rsidR="008815A2" w:rsidRPr="00F92E43">
        <w:rPr>
          <w:i/>
        </w:rPr>
        <w:t>does</w:t>
      </w:r>
      <w:r w:rsidR="008815A2" w:rsidRPr="0048388D">
        <w:t xml:space="preserve"> </w:t>
      </w:r>
      <w:r w:rsidRPr="0048388D">
        <w:t>appl</w:t>
      </w:r>
      <w:r w:rsidR="008815A2" w:rsidRPr="0048388D">
        <w:t>y</w:t>
      </w:r>
      <w:r w:rsidRPr="0048388D">
        <w:t xml:space="preserve"> to </w:t>
      </w:r>
      <w:r w:rsidR="008815A2" w:rsidRPr="0048388D">
        <w:t>OMB’s and Treasury’s own agency</w:t>
      </w:r>
      <w:r w:rsidR="00534BA1">
        <w:t xml:space="preserve"> and </w:t>
      </w:r>
      <w:r w:rsidR="008815A2" w:rsidRPr="0048388D">
        <w:t xml:space="preserve">departmental </w:t>
      </w:r>
      <w:r w:rsidRPr="0048388D">
        <w:t xml:space="preserve">budget </w:t>
      </w:r>
      <w:r w:rsidR="00534BA1">
        <w:t>records</w:t>
      </w:r>
      <w:r w:rsidR="008815A2" w:rsidRPr="0048388D">
        <w:t>.</w:t>
      </w:r>
      <w:r w:rsidR="00833320" w:rsidRPr="0048388D">
        <w:t xml:space="preserve">  The Federal budgeting process as we know it dates from </w:t>
      </w:r>
      <w:r w:rsidR="002B0E52">
        <w:t>when Congress established</w:t>
      </w:r>
      <w:r w:rsidR="00833320" w:rsidRPr="0048388D">
        <w:t xml:space="preserve"> the Bureau of the Budget (forerunner of OMB) in 1921.  While it is unlikely that agency budget records exist </w:t>
      </w:r>
      <w:r w:rsidR="00966B36">
        <w:t xml:space="preserve">from </w:t>
      </w:r>
      <w:r w:rsidR="00833320" w:rsidRPr="0048388D">
        <w:t xml:space="preserve">prior to that date, users should note that </w:t>
      </w:r>
      <w:r w:rsidR="002B0E52">
        <w:t xml:space="preserve">agencies must offer budget </w:t>
      </w:r>
      <w:r w:rsidR="00833320" w:rsidRPr="0048388D">
        <w:t xml:space="preserve">records </w:t>
      </w:r>
      <w:r w:rsidR="002B0E52">
        <w:t xml:space="preserve">they </w:t>
      </w:r>
      <w:r w:rsidR="00833320" w:rsidRPr="0048388D">
        <w:t xml:space="preserve">created prior to </w:t>
      </w:r>
      <w:smartTag w:uri="urn:schemas-microsoft-com:office:smarttags" w:element="date">
        <w:smartTagPr>
          <w:attr w:name="ls" w:val="trans"/>
          <w:attr w:name="Month" w:val="1"/>
          <w:attr w:name="Day" w:val="1"/>
          <w:attr w:name="Year" w:val="19"/>
        </w:smartTagPr>
        <w:r w:rsidR="00833320" w:rsidRPr="0048388D">
          <w:t>January 1, 19</w:t>
        </w:r>
      </w:smartTag>
      <w:r w:rsidR="00833320" w:rsidRPr="0048388D">
        <w:t>21</w:t>
      </w:r>
      <w:r w:rsidR="002B0E52">
        <w:t>,</w:t>
      </w:r>
      <w:r w:rsidR="00833320" w:rsidRPr="0048388D">
        <w:t xml:space="preserve"> to the National Archives and Records Administration (NARA) before </w:t>
      </w:r>
      <w:r w:rsidR="002B0E52">
        <w:t>they apply</w:t>
      </w:r>
      <w:r w:rsidR="002B0E52" w:rsidRPr="0048388D">
        <w:t xml:space="preserve"> </w:t>
      </w:r>
      <w:r w:rsidR="00833320" w:rsidRPr="0048388D">
        <w:t>disposition instructions in this schedule.</w:t>
      </w:r>
    </w:p>
    <w:p w14:paraId="4C6DE485" w14:textId="77777777" w:rsidR="00FA1738" w:rsidRPr="00163649" w:rsidRDefault="00FA1738" w:rsidP="00DC68B5">
      <w:pPr>
        <w:spacing w:after="0" w:line="240" w:lineRule="auto"/>
      </w:pPr>
    </w:p>
    <w:tbl>
      <w:tblPr>
        <w:tblW w:w="1452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655"/>
        <w:gridCol w:w="5072"/>
        <w:gridCol w:w="2373"/>
        <w:gridCol w:w="2700"/>
        <w:gridCol w:w="2430"/>
        <w:gridCol w:w="1292"/>
      </w:tblGrid>
      <w:tr w:rsidR="003D7986" w:rsidRPr="008B514C" w14:paraId="4E518F17" w14:textId="77777777" w:rsidTr="0048388D">
        <w:trPr>
          <w:tblHeader/>
        </w:trPr>
        <w:tc>
          <w:tcPr>
            <w:tcW w:w="655" w:type="dxa"/>
            <w:tcBorders>
              <w:bottom w:val="single" w:sz="4" w:space="0" w:color="auto"/>
            </w:tcBorders>
            <w:shd w:val="clear" w:color="auto" w:fill="B6DDE8"/>
          </w:tcPr>
          <w:p w14:paraId="2EE4B09D" w14:textId="77777777" w:rsidR="003D7986" w:rsidRPr="0060250D" w:rsidRDefault="003D7986" w:rsidP="008B514C">
            <w:pPr>
              <w:spacing w:after="0" w:line="240" w:lineRule="auto"/>
              <w:ind w:left="-18"/>
              <w:jc w:val="center"/>
              <w:rPr>
                <w:rFonts w:cstheme="minorHAnsi"/>
                <w:b/>
              </w:rPr>
            </w:pPr>
            <w:r w:rsidRPr="0060250D">
              <w:rPr>
                <w:rFonts w:cstheme="minorHAnsi"/>
                <w:b/>
              </w:rPr>
              <w:t>Item</w:t>
            </w:r>
          </w:p>
        </w:tc>
        <w:tc>
          <w:tcPr>
            <w:tcW w:w="10145" w:type="dxa"/>
            <w:gridSpan w:val="3"/>
            <w:tcBorders>
              <w:bottom w:val="single" w:sz="4" w:space="0" w:color="auto"/>
            </w:tcBorders>
            <w:shd w:val="clear" w:color="auto" w:fill="B6DDE8"/>
          </w:tcPr>
          <w:p w14:paraId="165838E6" w14:textId="77777777" w:rsidR="003D7986" w:rsidRPr="0060250D" w:rsidRDefault="003D7986" w:rsidP="00C06B48">
            <w:pPr>
              <w:spacing w:after="0" w:line="240" w:lineRule="auto"/>
              <w:rPr>
                <w:rFonts w:cstheme="minorHAnsi"/>
                <w:b/>
              </w:rPr>
            </w:pPr>
            <w:r w:rsidRPr="0060250D">
              <w:rPr>
                <w:rFonts w:cstheme="minorHAnsi"/>
                <w:b/>
              </w:rPr>
              <w:t>Records Description</w:t>
            </w:r>
          </w:p>
        </w:tc>
        <w:tc>
          <w:tcPr>
            <w:tcW w:w="2430" w:type="dxa"/>
            <w:tcBorders>
              <w:bottom w:val="single" w:sz="4" w:space="0" w:color="auto"/>
            </w:tcBorders>
            <w:shd w:val="clear" w:color="auto" w:fill="B6DDE8"/>
          </w:tcPr>
          <w:p w14:paraId="518B9C6E" w14:textId="77777777" w:rsidR="003D7986" w:rsidRPr="0060250D" w:rsidRDefault="003D7986" w:rsidP="0090533F">
            <w:pPr>
              <w:spacing w:after="0" w:line="240" w:lineRule="auto"/>
              <w:rPr>
                <w:rFonts w:cstheme="minorHAnsi"/>
                <w:b/>
              </w:rPr>
            </w:pPr>
            <w:r w:rsidRPr="0060250D">
              <w:rPr>
                <w:rFonts w:cstheme="minorHAnsi"/>
                <w:b/>
              </w:rPr>
              <w:t xml:space="preserve">Disposition Instruction </w:t>
            </w:r>
          </w:p>
        </w:tc>
        <w:tc>
          <w:tcPr>
            <w:tcW w:w="1292" w:type="dxa"/>
            <w:tcBorders>
              <w:bottom w:val="single" w:sz="4" w:space="0" w:color="auto"/>
            </w:tcBorders>
            <w:shd w:val="clear" w:color="auto" w:fill="B6DDE8"/>
          </w:tcPr>
          <w:p w14:paraId="73FD0FBC" w14:textId="77777777" w:rsidR="003D7986" w:rsidRPr="0060250D" w:rsidRDefault="003D7986" w:rsidP="003D7986">
            <w:pPr>
              <w:spacing w:after="0" w:line="240" w:lineRule="auto"/>
              <w:jc w:val="center"/>
              <w:rPr>
                <w:rFonts w:cstheme="minorHAnsi"/>
                <w:b/>
              </w:rPr>
            </w:pPr>
            <w:r w:rsidRPr="0060250D">
              <w:rPr>
                <w:rFonts w:cstheme="minorHAnsi"/>
                <w:b/>
              </w:rPr>
              <w:t>Disposition Authority</w:t>
            </w:r>
          </w:p>
        </w:tc>
      </w:tr>
      <w:tr w:rsidR="0022568E" w:rsidRPr="00761183" w14:paraId="40EFB252" w14:textId="77777777" w:rsidTr="0048388D">
        <w:tc>
          <w:tcPr>
            <w:tcW w:w="14522" w:type="dxa"/>
            <w:gridSpan w:val="6"/>
            <w:shd w:val="clear" w:color="auto" w:fill="D9D9D9" w:themeFill="background1" w:themeFillShade="D9"/>
          </w:tcPr>
          <w:p w14:paraId="29EB3F7F" w14:textId="77777777" w:rsidR="0022568E" w:rsidRPr="0060250D" w:rsidRDefault="0022568E" w:rsidP="000A65DE">
            <w:pPr>
              <w:spacing w:after="0" w:line="240" w:lineRule="auto"/>
              <w:rPr>
                <w:rFonts w:cstheme="minorHAnsi"/>
              </w:rPr>
            </w:pPr>
            <w:r>
              <w:rPr>
                <w:rFonts w:cstheme="minorHAnsi"/>
                <w:b/>
              </w:rPr>
              <w:t xml:space="preserve">Records </w:t>
            </w:r>
            <w:r w:rsidR="002B0E52" w:rsidRPr="00746E46">
              <w:rPr>
                <w:rFonts w:asciiTheme="minorHAnsi" w:hAnsiTheme="minorHAnsi"/>
                <w:b/>
              </w:rPr>
              <w:t>create</w:t>
            </w:r>
            <w:r w:rsidR="000A65DE" w:rsidRPr="00746E46">
              <w:rPr>
                <w:rFonts w:asciiTheme="minorHAnsi" w:hAnsiTheme="minorHAnsi"/>
                <w:b/>
              </w:rPr>
              <w:t>d</w:t>
            </w:r>
            <w:r w:rsidR="002B0E52" w:rsidRPr="00746E46">
              <w:rPr>
                <w:rFonts w:asciiTheme="minorHAnsi" w:hAnsiTheme="minorHAnsi"/>
                <w:b/>
              </w:rPr>
              <w:t xml:space="preserve"> and h</w:t>
            </w:r>
            <w:r w:rsidR="000A65DE" w:rsidRPr="00746E46">
              <w:rPr>
                <w:rFonts w:asciiTheme="minorHAnsi" w:hAnsiTheme="minorHAnsi"/>
                <w:b/>
              </w:rPr>
              <w:t>e</w:t>
            </w:r>
            <w:r w:rsidR="002B0E52" w:rsidRPr="00746E46">
              <w:rPr>
                <w:rFonts w:asciiTheme="minorHAnsi" w:hAnsiTheme="minorHAnsi"/>
                <w:b/>
              </w:rPr>
              <w:t xml:space="preserve">ld </w:t>
            </w:r>
            <w:r w:rsidR="000A65DE" w:rsidRPr="00746E46">
              <w:rPr>
                <w:rFonts w:asciiTheme="minorHAnsi" w:hAnsiTheme="minorHAnsi"/>
                <w:b/>
              </w:rPr>
              <w:t>by offices</w:t>
            </w:r>
            <w:r w:rsidR="002B0E52" w:rsidRPr="00746E46">
              <w:rPr>
                <w:rFonts w:asciiTheme="minorHAnsi" w:hAnsiTheme="minorHAnsi"/>
                <w:b/>
              </w:rPr>
              <w:t xml:space="preserve"> </w:t>
            </w:r>
            <w:r w:rsidR="000A65DE" w:rsidRPr="00746E46">
              <w:rPr>
                <w:rFonts w:asciiTheme="minorHAnsi" w:hAnsiTheme="minorHAnsi"/>
                <w:b/>
              </w:rPr>
              <w:t>that prepare</w:t>
            </w:r>
            <w:r w:rsidR="002B0E52">
              <w:rPr>
                <w:rFonts w:asciiTheme="minorHAnsi" w:hAnsiTheme="minorHAnsi"/>
                <w:b/>
              </w:rPr>
              <w:t xml:space="preserve"> an</w:t>
            </w:r>
            <w:r w:rsidR="002B0E52" w:rsidRPr="00962261">
              <w:rPr>
                <w:rFonts w:asciiTheme="minorHAnsi" w:hAnsiTheme="minorHAnsi"/>
                <w:b/>
              </w:rPr>
              <w:t xml:space="preserve"> </w:t>
            </w:r>
            <w:r w:rsidR="00962261" w:rsidRPr="00962261">
              <w:rPr>
                <w:rFonts w:asciiTheme="minorHAnsi" w:hAnsiTheme="minorHAnsi"/>
                <w:b/>
              </w:rPr>
              <w:t xml:space="preserve">agency’s budget proposal </w:t>
            </w:r>
            <w:r w:rsidR="002B0E52">
              <w:rPr>
                <w:rFonts w:asciiTheme="minorHAnsi" w:hAnsiTheme="minorHAnsi"/>
                <w:b/>
              </w:rPr>
              <w:t>for</w:t>
            </w:r>
            <w:r w:rsidR="002B0E52" w:rsidRPr="00962261">
              <w:rPr>
                <w:rFonts w:asciiTheme="minorHAnsi" w:hAnsiTheme="minorHAnsi"/>
                <w:b/>
              </w:rPr>
              <w:t xml:space="preserve"> </w:t>
            </w:r>
            <w:r w:rsidR="00962261" w:rsidRPr="00962261">
              <w:rPr>
                <w:rFonts w:asciiTheme="minorHAnsi" w:hAnsiTheme="minorHAnsi"/>
                <w:b/>
              </w:rPr>
              <w:t>the White House</w:t>
            </w:r>
          </w:p>
        </w:tc>
      </w:tr>
      <w:tr w:rsidR="003D7986" w:rsidRPr="00761183" w14:paraId="04EBAC5E" w14:textId="77777777" w:rsidTr="0022568E">
        <w:tc>
          <w:tcPr>
            <w:tcW w:w="655" w:type="dxa"/>
          </w:tcPr>
          <w:p w14:paraId="4698BCB2" w14:textId="77777777" w:rsidR="003D7986" w:rsidRPr="0060250D" w:rsidRDefault="001B56B0" w:rsidP="002F518F">
            <w:pPr>
              <w:spacing w:after="0" w:line="240" w:lineRule="auto"/>
              <w:jc w:val="center"/>
              <w:rPr>
                <w:rFonts w:asciiTheme="minorHAnsi" w:hAnsiTheme="minorHAnsi" w:cs="TimesNewRomanPSMT"/>
                <w:color w:val="000000"/>
              </w:rPr>
            </w:pPr>
            <w:r w:rsidRPr="0060250D">
              <w:rPr>
                <w:rFonts w:asciiTheme="minorHAnsi" w:hAnsiTheme="minorHAnsi" w:cs="TimesNewRomanPSMT"/>
                <w:color w:val="000000"/>
              </w:rPr>
              <w:t>0</w:t>
            </w:r>
            <w:r w:rsidR="002F518F">
              <w:rPr>
                <w:rFonts w:asciiTheme="minorHAnsi" w:hAnsiTheme="minorHAnsi" w:cs="TimesNewRomanPSMT"/>
                <w:color w:val="000000"/>
              </w:rPr>
              <w:t>1</w:t>
            </w:r>
            <w:r w:rsidRPr="0060250D">
              <w:rPr>
                <w:rFonts w:asciiTheme="minorHAnsi" w:hAnsiTheme="minorHAnsi" w:cs="TimesNewRomanPSMT"/>
                <w:color w:val="000000"/>
              </w:rPr>
              <w:t>0</w:t>
            </w:r>
          </w:p>
        </w:tc>
        <w:tc>
          <w:tcPr>
            <w:tcW w:w="10145" w:type="dxa"/>
            <w:gridSpan w:val="3"/>
          </w:tcPr>
          <w:p w14:paraId="6C8BC863" w14:textId="77777777" w:rsidR="003D7986" w:rsidRPr="0060250D" w:rsidRDefault="00430C99" w:rsidP="002C7DA5">
            <w:pPr>
              <w:spacing w:after="0" w:line="240" w:lineRule="auto"/>
              <w:rPr>
                <w:rFonts w:asciiTheme="minorHAnsi" w:hAnsiTheme="minorHAnsi" w:cstheme="minorHAnsi"/>
              </w:rPr>
            </w:pPr>
            <w:r w:rsidRPr="0060250D">
              <w:rPr>
                <w:b/>
              </w:rPr>
              <w:t xml:space="preserve">Budget </w:t>
            </w:r>
            <w:r w:rsidR="00003A64" w:rsidRPr="0060250D">
              <w:rPr>
                <w:b/>
              </w:rPr>
              <w:t>f</w:t>
            </w:r>
            <w:r w:rsidRPr="0060250D">
              <w:rPr>
                <w:b/>
              </w:rPr>
              <w:t xml:space="preserve">ormulation, </w:t>
            </w:r>
            <w:r w:rsidR="00003A64" w:rsidRPr="0060250D">
              <w:rPr>
                <w:b/>
              </w:rPr>
              <w:t>e</w:t>
            </w:r>
            <w:r w:rsidRPr="0060250D">
              <w:rPr>
                <w:b/>
              </w:rPr>
              <w:t xml:space="preserve">stimates, </w:t>
            </w:r>
            <w:r w:rsidR="00003A64" w:rsidRPr="0060250D">
              <w:rPr>
                <w:b/>
              </w:rPr>
              <w:t>j</w:t>
            </w:r>
            <w:r w:rsidRPr="0060250D">
              <w:rPr>
                <w:b/>
              </w:rPr>
              <w:t xml:space="preserve">ustification, and </w:t>
            </w:r>
            <w:r w:rsidR="00003A64" w:rsidRPr="0060250D">
              <w:rPr>
                <w:b/>
              </w:rPr>
              <w:t>s</w:t>
            </w:r>
            <w:r w:rsidRPr="0060250D">
              <w:rPr>
                <w:b/>
              </w:rPr>
              <w:t xml:space="preserve">ubmission </w:t>
            </w:r>
            <w:r w:rsidR="00FD53F3" w:rsidRPr="0060250D">
              <w:rPr>
                <w:b/>
              </w:rPr>
              <w:t>r</w:t>
            </w:r>
            <w:r w:rsidRPr="0060250D">
              <w:rPr>
                <w:b/>
              </w:rPr>
              <w:t>ecords</w:t>
            </w:r>
            <w:r w:rsidR="007E3B1F" w:rsidRPr="00BD71F2">
              <w:rPr>
                <w:b/>
              </w:rPr>
              <w:t>, fiscal year 201</w:t>
            </w:r>
            <w:r w:rsidR="00214E3E">
              <w:rPr>
                <w:b/>
              </w:rPr>
              <w:t>7</w:t>
            </w:r>
            <w:r w:rsidR="007E3B1F" w:rsidRPr="00BD71F2">
              <w:rPr>
                <w:b/>
              </w:rPr>
              <w:t xml:space="preserve"> and forward.</w:t>
            </w:r>
          </w:p>
          <w:p w14:paraId="499361FE" w14:textId="77777777" w:rsidR="001260CB" w:rsidRPr="0060250D" w:rsidRDefault="001260CB" w:rsidP="006E7EEB">
            <w:pPr>
              <w:spacing w:after="0" w:line="240" w:lineRule="auto"/>
              <w:ind w:left="342"/>
              <w:rPr>
                <w:rFonts w:asciiTheme="minorHAnsi" w:hAnsiTheme="minorHAnsi" w:cstheme="minorHAnsi"/>
              </w:rPr>
            </w:pPr>
            <w:r w:rsidRPr="0060250D">
              <w:rPr>
                <w:rFonts w:asciiTheme="minorHAnsi" w:hAnsiTheme="minorHAnsi" w:cstheme="minorHAnsi"/>
              </w:rPr>
              <w:t>Includes</w:t>
            </w:r>
            <w:r w:rsidR="00003A64" w:rsidRPr="0060250D">
              <w:rPr>
                <w:rFonts w:asciiTheme="minorHAnsi" w:hAnsiTheme="minorHAnsi" w:cstheme="minorHAnsi"/>
              </w:rPr>
              <w:t xml:space="preserve"> records such as:</w:t>
            </w:r>
          </w:p>
          <w:p w14:paraId="362339FF" w14:textId="77777777" w:rsidR="00003A64" w:rsidRPr="0060250D" w:rsidRDefault="00003A64" w:rsidP="001260CB">
            <w:pPr>
              <w:pStyle w:val="ListParagraph"/>
              <w:numPr>
                <w:ilvl w:val="0"/>
                <w:numId w:val="20"/>
              </w:numPr>
              <w:spacing w:after="0" w:line="240" w:lineRule="auto"/>
              <w:ind w:left="670" w:hanging="315"/>
              <w:rPr>
                <w:rFonts w:asciiTheme="minorHAnsi" w:hAnsiTheme="minorHAnsi" w:cstheme="minorHAnsi"/>
              </w:rPr>
            </w:pPr>
            <w:r w:rsidRPr="0060250D">
              <w:rPr>
                <w:rFonts w:asciiTheme="minorHAnsi" w:hAnsiTheme="minorHAnsi" w:cstheme="minorHAnsi"/>
              </w:rPr>
              <w:t>guidance and briefing materials</w:t>
            </w:r>
          </w:p>
          <w:p w14:paraId="0074B49F" w14:textId="77777777" w:rsidR="001260CB" w:rsidRPr="0060250D" w:rsidRDefault="001260CB" w:rsidP="001260CB">
            <w:pPr>
              <w:pStyle w:val="ListParagraph"/>
              <w:numPr>
                <w:ilvl w:val="0"/>
                <w:numId w:val="20"/>
              </w:numPr>
              <w:spacing w:after="0" w:line="240" w:lineRule="auto"/>
              <w:ind w:left="670" w:hanging="315"/>
              <w:rPr>
                <w:rFonts w:asciiTheme="minorHAnsi" w:hAnsiTheme="minorHAnsi" w:cstheme="minorHAnsi"/>
              </w:rPr>
            </w:pPr>
            <w:r w:rsidRPr="0060250D">
              <w:rPr>
                <w:rFonts w:asciiTheme="minorHAnsi" w:hAnsiTheme="minorHAnsi" w:cstheme="minorHAnsi"/>
              </w:rPr>
              <w:t>agency</w:t>
            </w:r>
            <w:r w:rsidR="002B0E52">
              <w:rPr>
                <w:rFonts w:asciiTheme="minorHAnsi" w:hAnsiTheme="minorHAnsi" w:cstheme="minorHAnsi"/>
              </w:rPr>
              <w:t xml:space="preserve"> or </w:t>
            </w:r>
            <w:r w:rsidRPr="0060250D">
              <w:rPr>
                <w:rFonts w:asciiTheme="minorHAnsi" w:hAnsiTheme="minorHAnsi" w:cstheme="minorHAnsi"/>
              </w:rPr>
              <w:t>department copy of final submission to OMB</w:t>
            </w:r>
            <w:r w:rsidR="002B0E52">
              <w:rPr>
                <w:rFonts w:asciiTheme="minorHAnsi" w:hAnsiTheme="minorHAnsi" w:cstheme="minorHAnsi"/>
              </w:rPr>
              <w:t xml:space="preserve"> and </w:t>
            </w:r>
            <w:r w:rsidRPr="0060250D">
              <w:rPr>
                <w:rFonts w:asciiTheme="minorHAnsi" w:hAnsiTheme="minorHAnsi" w:cstheme="minorHAnsi"/>
              </w:rPr>
              <w:t>Congress</w:t>
            </w:r>
          </w:p>
          <w:p w14:paraId="1841E818" w14:textId="77777777" w:rsidR="00003A64" w:rsidRPr="0060250D" w:rsidRDefault="00BB1A04" w:rsidP="00003A64">
            <w:pPr>
              <w:pStyle w:val="ListParagraph"/>
              <w:numPr>
                <w:ilvl w:val="0"/>
                <w:numId w:val="20"/>
              </w:numPr>
              <w:spacing w:after="0" w:line="240" w:lineRule="auto"/>
              <w:ind w:left="670" w:hanging="315"/>
              <w:rPr>
                <w:rFonts w:asciiTheme="minorHAnsi" w:hAnsiTheme="minorHAnsi" w:cstheme="minorHAnsi"/>
              </w:rPr>
            </w:pPr>
            <w:r w:rsidRPr="0060250D">
              <w:rPr>
                <w:rFonts w:asciiTheme="minorHAnsi" w:hAnsiTheme="minorHAnsi" w:cstheme="minorHAnsi"/>
              </w:rPr>
              <w:t xml:space="preserve">narrative statements </w:t>
            </w:r>
            <w:r w:rsidR="003E4224">
              <w:t xml:space="preserve">justifying or defending estimates </w:t>
            </w:r>
            <w:r w:rsidR="00003A64" w:rsidRPr="0060250D">
              <w:rPr>
                <w:rFonts w:asciiTheme="minorHAnsi" w:hAnsiTheme="minorHAnsi" w:cstheme="minorHAnsi"/>
              </w:rPr>
              <w:t>(sometimes called “Green Books”)</w:t>
            </w:r>
          </w:p>
          <w:p w14:paraId="33719A44" w14:textId="1F8AC582" w:rsidR="00BB1A04" w:rsidRPr="0060250D" w:rsidRDefault="00BB1A04" w:rsidP="00BB1A04">
            <w:pPr>
              <w:pStyle w:val="ListParagraph"/>
              <w:numPr>
                <w:ilvl w:val="0"/>
                <w:numId w:val="20"/>
              </w:numPr>
              <w:spacing w:after="0" w:line="240" w:lineRule="auto"/>
              <w:ind w:left="670" w:hanging="315"/>
              <w:rPr>
                <w:rFonts w:asciiTheme="minorHAnsi" w:hAnsiTheme="minorHAnsi" w:cstheme="minorHAnsi"/>
              </w:rPr>
            </w:pPr>
            <w:r w:rsidRPr="0060250D">
              <w:rPr>
                <w:rFonts w:asciiTheme="minorHAnsi" w:hAnsiTheme="minorHAnsi" w:cstheme="minorHAnsi"/>
              </w:rPr>
              <w:t>bri</w:t>
            </w:r>
            <w:r w:rsidR="001260CB" w:rsidRPr="0060250D">
              <w:rPr>
                <w:rFonts w:asciiTheme="minorHAnsi" w:hAnsiTheme="minorHAnsi" w:cstheme="minorHAnsi"/>
              </w:rPr>
              <w:t xml:space="preserve">efing </w:t>
            </w:r>
            <w:r w:rsidRPr="0060250D">
              <w:rPr>
                <w:rFonts w:asciiTheme="minorHAnsi" w:hAnsiTheme="minorHAnsi" w:cstheme="minorHAnsi"/>
              </w:rPr>
              <w:t>b</w:t>
            </w:r>
            <w:r w:rsidR="001260CB" w:rsidRPr="0060250D">
              <w:rPr>
                <w:rFonts w:asciiTheme="minorHAnsi" w:hAnsiTheme="minorHAnsi" w:cstheme="minorHAnsi"/>
              </w:rPr>
              <w:t>ook</w:t>
            </w:r>
            <w:r w:rsidRPr="0060250D">
              <w:rPr>
                <w:rFonts w:asciiTheme="minorHAnsi" w:hAnsiTheme="minorHAnsi" w:cstheme="minorHAnsi"/>
              </w:rPr>
              <w:t xml:space="preserve">s </w:t>
            </w:r>
            <w:r w:rsidR="00003A64" w:rsidRPr="0060250D">
              <w:rPr>
                <w:rFonts w:asciiTheme="minorHAnsi" w:hAnsiTheme="minorHAnsi" w:cstheme="minorHAnsi"/>
              </w:rPr>
              <w:t>and exhibits</w:t>
            </w:r>
          </w:p>
          <w:p w14:paraId="2837F4DD" w14:textId="29C7C2C7" w:rsidR="00BB1A04" w:rsidRPr="0060250D" w:rsidRDefault="00BB1A04" w:rsidP="00BB1A04">
            <w:pPr>
              <w:pStyle w:val="ListParagraph"/>
              <w:numPr>
                <w:ilvl w:val="0"/>
                <w:numId w:val="20"/>
              </w:numPr>
              <w:spacing w:after="0" w:line="240" w:lineRule="auto"/>
              <w:ind w:left="670" w:hanging="315"/>
              <w:rPr>
                <w:rFonts w:asciiTheme="minorHAnsi" w:hAnsiTheme="minorHAnsi" w:cstheme="minorHAnsi"/>
              </w:rPr>
            </w:pPr>
            <w:r w:rsidRPr="0060250D">
              <w:rPr>
                <w:rFonts w:asciiTheme="minorHAnsi" w:hAnsiTheme="minorHAnsi" w:cstheme="minorHAnsi"/>
              </w:rPr>
              <w:t>language sheets and schedules</w:t>
            </w:r>
          </w:p>
          <w:p w14:paraId="05B98F6D" w14:textId="77777777" w:rsidR="00BB1A04" w:rsidRPr="0060250D" w:rsidRDefault="000A72D3" w:rsidP="00BB1A04">
            <w:pPr>
              <w:pStyle w:val="ListParagraph"/>
              <w:numPr>
                <w:ilvl w:val="0"/>
                <w:numId w:val="20"/>
              </w:numPr>
              <w:spacing w:after="0" w:line="240" w:lineRule="auto"/>
              <w:ind w:left="670" w:hanging="315"/>
              <w:rPr>
                <w:rFonts w:asciiTheme="minorHAnsi" w:hAnsiTheme="minorHAnsi" w:cstheme="minorHAnsi"/>
              </w:rPr>
            </w:pPr>
            <w:r w:rsidRPr="0060250D">
              <w:rPr>
                <w:rFonts w:asciiTheme="minorHAnsi" w:hAnsiTheme="minorHAnsi" w:cstheme="minorHAnsi"/>
              </w:rPr>
              <w:t xml:space="preserve">OMB </w:t>
            </w:r>
            <w:r w:rsidRPr="000A72D3">
              <w:rPr>
                <w:rFonts w:asciiTheme="minorHAnsi" w:hAnsiTheme="minorHAnsi" w:cstheme="minorHAnsi"/>
              </w:rPr>
              <w:t>and Congress</w:t>
            </w:r>
            <w:r w:rsidRPr="000A72D3">
              <w:rPr>
                <w:rStyle w:val="CommentReference"/>
                <w:sz w:val="22"/>
                <w:szCs w:val="22"/>
              </w:rPr>
              <w:t xml:space="preserve"> pass-back </w:t>
            </w:r>
            <w:r w:rsidR="00BB1A04" w:rsidRPr="000A72D3">
              <w:rPr>
                <w:rFonts w:asciiTheme="minorHAnsi" w:hAnsiTheme="minorHAnsi" w:cstheme="minorHAnsi"/>
              </w:rPr>
              <w:t>responses</w:t>
            </w:r>
            <w:r w:rsidR="003511FD">
              <w:rPr>
                <w:rFonts w:asciiTheme="minorHAnsi" w:hAnsiTheme="minorHAnsi" w:cstheme="minorHAnsi"/>
              </w:rPr>
              <w:t xml:space="preserve"> and </w:t>
            </w:r>
            <w:r w:rsidR="00BB1A04" w:rsidRPr="0060250D">
              <w:rPr>
                <w:rFonts w:asciiTheme="minorHAnsi" w:hAnsiTheme="minorHAnsi" w:cstheme="minorHAnsi"/>
              </w:rPr>
              <w:t>questions</w:t>
            </w:r>
            <w:r w:rsidR="00FC7DEF">
              <w:rPr>
                <w:rFonts w:asciiTheme="minorHAnsi" w:hAnsiTheme="minorHAnsi" w:cstheme="minorHAnsi"/>
              </w:rPr>
              <w:t>;</w:t>
            </w:r>
            <w:r w:rsidR="00BB1A04" w:rsidRPr="0060250D">
              <w:rPr>
                <w:rFonts w:asciiTheme="minorHAnsi" w:hAnsiTheme="minorHAnsi" w:cstheme="minorHAnsi"/>
              </w:rPr>
              <w:t xml:space="preserve"> </w:t>
            </w:r>
            <w:r w:rsidR="003511FD">
              <w:rPr>
                <w:rFonts w:asciiTheme="minorHAnsi" w:hAnsiTheme="minorHAnsi" w:cstheme="minorHAnsi"/>
              </w:rPr>
              <w:t xml:space="preserve">agency </w:t>
            </w:r>
            <w:r w:rsidR="00BB1A04" w:rsidRPr="0060250D">
              <w:rPr>
                <w:rFonts w:asciiTheme="minorHAnsi" w:hAnsiTheme="minorHAnsi" w:cstheme="minorHAnsi"/>
              </w:rPr>
              <w:t>appeals</w:t>
            </w:r>
            <w:r w:rsidR="003511FD">
              <w:rPr>
                <w:rFonts w:asciiTheme="minorHAnsi" w:hAnsiTheme="minorHAnsi" w:cstheme="minorHAnsi"/>
              </w:rPr>
              <w:t xml:space="preserve">, </w:t>
            </w:r>
            <w:r w:rsidR="00FC7DEF">
              <w:rPr>
                <w:rFonts w:asciiTheme="minorHAnsi" w:hAnsiTheme="minorHAnsi" w:cstheme="minorHAnsi"/>
              </w:rPr>
              <w:t xml:space="preserve">responses, and </w:t>
            </w:r>
            <w:r w:rsidR="00BB1A04" w:rsidRPr="0060250D">
              <w:rPr>
                <w:rFonts w:asciiTheme="minorHAnsi" w:hAnsiTheme="minorHAnsi" w:cstheme="minorHAnsi"/>
              </w:rPr>
              <w:t>answers</w:t>
            </w:r>
          </w:p>
          <w:p w14:paraId="3AC00F38" w14:textId="77777777" w:rsidR="00BB1A04" w:rsidRPr="0060250D" w:rsidRDefault="002B3E74" w:rsidP="00BB1A04">
            <w:pPr>
              <w:pStyle w:val="ListParagraph"/>
              <w:numPr>
                <w:ilvl w:val="0"/>
                <w:numId w:val="20"/>
              </w:numPr>
              <w:spacing w:after="0" w:line="240" w:lineRule="auto"/>
              <w:ind w:left="670" w:hanging="315"/>
              <w:rPr>
                <w:rFonts w:asciiTheme="minorHAnsi" w:hAnsiTheme="minorHAnsi" w:cstheme="minorHAnsi"/>
              </w:rPr>
            </w:pPr>
            <w:r w:rsidRPr="0060250D">
              <w:rPr>
                <w:rFonts w:asciiTheme="minorHAnsi" w:hAnsiTheme="minorHAnsi" w:cstheme="minorHAnsi"/>
              </w:rPr>
              <w:t>testimony at</w:t>
            </w:r>
            <w:r w:rsidR="003511FD">
              <w:rPr>
                <w:rFonts w:asciiTheme="minorHAnsi" w:hAnsiTheme="minorHAnsi" w:cstheme="minorHAnsi"/>
              </w:rPr>
              <w:t>,</w:t>
            </w:r>
            <w:r w:rsidRPr="0060250D">
              <w:rPr>
                <w:rFonts w:asciiTheme="minorHAnsi" w:hAnsiTheme="minorHAnsi" w:cstheme="minorHAnsi"/>
              </w:rPr>
              <w:t xml:space="preserve"> and other agency </w:t>
            </w:r>
            <w:r w:rsidR="00BB1A04" w:rsidRPr="0060250D">
              <w:rPr>
                <w:rFonts w:asciiTheme="minorHAnsi" w:hAnsiTheme="minorHAnsi" w:cstheme="minorHAnsi"/>
              </w:rPr>
              <w:t>records of</w:t>
            </w:r>
            <w:r w:rsidR="003511FD">
              <w:rPr>
                <w:rFonts w:asciiTheme="minorHAnsi" w:hAnsiTheme="minorHAnsi" w:cstheme="minorHAnsi"/>
              </w:rPr>
              <w:t>,</w:t>
            </w:r>
            <w:r w:rsidR="00BB1A04" w:rsidRPr="0060250D">
              <w:rPr>
                <w:rFonts w:asciiTheme="minorHAnsi" w:hAnsiTheme="minorHAnsi" w:cstheme="minorHAnsi"/>
              </w:rPr>
              <w:t xml:space="preserve"> Congressional hearings</w:t>
            </w:r>
          </w:p>
          <w:p w14:paraId="7514A587" w14:textId="77777777" w:rsidR="002B3E74" w:rsidRDefault="002B3E74" w:rsidP="00BB1A04">
            <w:pPr>
              <w:pStyle w:val="ListParagraph"/>
              <w:numPr>
                <w:ilvl w:val="0"/>
                <w:numId w:val="20"/>
              </w:numPr>
              <w:spacing w:after="0" w:line="240" w:lineRule="auto"/>
              <w:ind w:left="670" w:hanging="315"/>
              <w:rPr>
                <w:rFonts w:asciiTheme="minorHAnsi" w:hAnsiTheme="minorHAnsi" w:cstheme="minorHAnsi"/>
              </w:rPr>
            </w:pPr>
            <w:r w:rsidRPr="0060250D">
              <w:rPr>
                <w:rFonts w:asciiTheme="minorHAnsi" w:hAnsiTheme="minorHAnsi" w:cstheme="minorHAnsi"/>
              </w:rPr>
              <w:t>final settlement</w:t>
            </w:r>
            <w:r w:rsidR="003511FD">
              <w:rPr>
                <w:rFonts w:asciiTheme="minorHAnsi" w:hAnsiTheme="minorHAnsi" w:cstheme="minorHAnsi"/>
              </w:rPr>
              <w:t xml:space="preserve"> or </w:t>
            </w:r>
            <w:r w:rsidRPr="0060250D">
              <w:rPr>
                <w:rFonts w:asciiTheme="minorHAnsi" w:hAnsiTheme="minorHAnsi" w:cstheme="minorHAnsi"/>
              </w:rPr>
              <w:t>approved appropriation</w:t>
            </w:r>
          </w:p>
          <w:p w14:paraId="069A29F0" w14:textId="77777777" w:rsidR="008F6CAB" w:rsidRPr="0060250D" w:rsidRDefault="008F6CAB" w:rsidP="008F6CAB">
            <w:pPr>
              <w:pStyle w:val="ListParagraph"/>
              <w:spacing w:after="0" w:line="240" w:lineRule="auto"/>
              <w:ind w:left="670"/>
              <w:rPr>
                <w:rFonts w:asciiTheme="minorHAnsi" w:hAnsiTheme="minorHAnsi" w:cstheme="minorHAnsi"/>
              </w:rPr>
            </w:pPr>
          </w:p>
          <w:p w14:paraId="0FC07D0C" w14:textId="634790DC" w:rsidR="00D43D73" w:rsidRPr="0060250D" w:rsidRDefault="00D02684" w:rsidP="008F6CAB">
            <w:pPr>
              <w:spacing w:after="0" w:line="240" w:lineRule="auto"/>
              <w:ind w:left="355"/>
              <w:rPr>
                <w:rFonts w:asciiTheme="minorHAnsi" w:hAnsiTheme="minorHAnsi" w:cstheme="minorHAnsi"/>
              </w:rPr>
            </w:pPr>
            <w:r w:rsidRPr="0060250D">
              <w:rPr>
                <w:rFonts w:asciiTheme="minorHAnsi" w:hAnsiTheme="minorHAnsi" w:cstheme="minorHAnsi"/>
                <w:b/>
              </w:rPr>
              <w:t xml:space="preserve">Exclusion:  </w:t>
            </w:r>
            <w:r w:rsidRPr="0060250D">
              <w:rPr>
                <w:rFonts w:asciiTheme="minorHAnsi" w:hAnsiTheme="minorHAnsi" w:cstheme="minorHAnsi"/>
              </w:rPr>
              <w:t>This item applies only to agencies that submit their budget requests via OMB.  Agencies that do not submit budget requests via OMB are excluded from using this item.  Such agencies must submit schedules to NARA to cover their budget submission records.</w:t>
            </w:r>
          </w:p>
        </w:tc>
        <w:tc>
          <w:tcPr>
            <w:tcW w:w="2430" w:type="dxa"/>
          </w:tcPr>
          <w:p w14:paraId="6689E516" w14:textId="77777777" w:rsidR="003D7986" w:rsidRPr="0060250D" w:rsidRDefault="003D7986" w:rsidP="002B0E52">
            <w:pPr>
              <w:spacing w:after="0" w:line="240" w:lineRule="auto"/>
              <w:rPr>
                <w:rFonts w:asciiTheme="minorHAnsi" w:hAnsiTheme="minorHAnsi" w:cstheme="minorHAnsi"/>
              </w:rPr>
            </w:pPr>
            <w:r w:rsidRPr="0060250D">
              <w:rPr>
                <w:rFonts w:asciiTheme="minorHAnsi" w:hAnsiTheme="minorHAnsi"/>
                <w:b/>
              </w:rPr>
              <w:lastRenderedPageBreak/>
              <w:t>Temporary</w:t>
            </w:r>
            <w:r w:rsidRPr="0060250D">
              <w:rPr>
                <w:rFonts w:asciiTheme="minorHAnsi" w:hAnsiTheme="minorHAnsi"/>
              </w:rPr>
              <w:t xml:space="preserve">.  Destroy </w:t>
            </w:r>
            <w:r w:rsidR="00003A64" w:rsidRPr="0060250D">
              <w:rPr>
                <w:rFonts w:asciiTheme="minorHAnsi" w:hAnsiTheme="minorHAnsi"/>
              </w:rPr>
              <w:t xml:space="preserve">6 years after close of fiscal year, but </w:t>
            </w:r>
            <w:r w:rsidR="00003A64" w:rsidRPr="0060250D">
              <w:t>longer retention is authorized if required for business use.</w:t>
            </w:r>
          </w:p>
        </w:tc>
        <w:tc>
          <w:tcPr>
            <w:tcW w:w="1292" w:type="dxa"/>
          </w:tcPr>
          <w:p w14:paraId="532671E1" w14:textId="77777777" w:rsidR="003D7986" w:rsidRPr="0060250D" w:rsidRDefault="006F63BB" w:rsidP="00CF122B">
            <w:pPr>
              <w:spacing w:after="0" w:line="240" w:lineRule="auto"/>
              <w:rPr>
                <w:rFonts w:asciiTheme="minorHAnsi" w:hAnsiTheme="minorHAnsi" w:cstheme="minorHAnsi"/>
              </w:rPr>
            </w:pPr>
            <w:r w:rsidRPr="0060250D">
              <w:rPr>
                <w:rFonts w:cstheme="minorHAnsi"/>
              </w:rPr>
              <w:t>DAA-GRS-2015-000</w:t>
            </w:r>
            <w:r w:rsidR="00CF122B">
              <w:rPr>
                <w:rFonts w:cstheme="minorHAnsi"/>
              </w:rPr>
              <w:t>6</w:t>
            </w:r>
            <w:r w:rsidRPr="0060250D">
              <w:rPr>
                <w:rFonts w:cstheme="minorHAnsi"/>
              </w:rPr>
              <w:t>-000</w:t>
            </w:r>
            <w:r w:rsidR="006C0AE2">
              <w:rPr>
                <w:rFonts w:cstheme="minorHAnsi"/>
              </w:rPr>
              <w:t>1</w:t>
            </w:r>
          </w:p>
        </w:tc>
      </w:tr>
      <w:tr w:rsidR="00DB4A19" w:rsidRPr="00761183" w14:paraId="18870EE1" w14:textId="77777777" w:rsidTr="0022568E">
        <w:trPr>
          <w:trHeight w:val="3268"/>
        </w:trPr>
        <w:tc>
          <w:tcPr>
            <w:tcW w:w="655" w:type="dxa"/>
          </w:tcPr>
          <w:p w14:paraId="60404DA4" w14:textId="77777777" w:rsidR="00DB4A19" w:rsidRPr="0060250D" w:rsidRDefault="00DB4A19" w:rsidP="002F518F">
            <w:pPr>
              <w:spacing w:after="0" w:line="240" w:lineRule="auto"/>
              <w:jc w:val="center"/>
              <w:rPr>
                <w:rFonts w:asciiTheme="minorHAnsi" w:hAnsiTheme="minorHAnsi"/>
              </w:rPr>
            </w:pPr>
            <w:r w:rsidRPr="0060250D">
              <w:rPr>
                <w:rFonts w:asciiTheme="minorHAnsi" w:hAnsiTheme="minorHAnsi"/>
              </w:rPr>
              <w:t>0</w:t>
            </w:r>
            <w:r w:rsidR="002F518F">
              <w:rPr>
                <w:rFonts w:asciiTheme="minorHAnsi" w:hAnsiTheme="minorHAnsi"/>
              </w:rPr>
              <w:t>2</w:t>
            </w:r>
            <w:r w:rsidRPr="0060250D">
              <w:rPr>
                <w:rFonts w:asciiTheme="minorHAnsi" w:hAnsiTheme="minorHAnsi"/>
              </w:rPr>
              <w:t>0</w:t>
            </w:r>
          </w:p>
        </w:tc>
        <w:tc>
          <w:tcPr>
            <w:tcW w:w="10145" w:type="dxa"/>
            <w:gridSpan w:val="3"/>
          </w:tcPr>
          <w:p w14:paraId="1DEF6EF6" w14:textId="77777777" w:rsidR="00DB4A19" w:rsidRPr="0060250D" w:rsidRDefault="00DB4A19" w:rsidP="002C7DA5">
            <w:pPr>
              <w:spacing w:after="0" w:line="240" w:lineRule="auto"/>
              <w:rPr>
                <w:rFonts w:asciiTheme="minorHAnsi" w:hAnsiTheme="minorHAnsi" w:cstheme="minorHAnsi"/>
              </w:rPr>
            </w:pPr>
            <w:r w:rsidRPr="0060250D">
              <w:rPr>
                <w:rFonts w:asciiTheme="minorHAnsi" w:hAnsiTheme="minorHAnsi"/>
                <w:b/>
              </w:rPr>
              <w:t xml:space="preserve">Budget </w:t>
            </w:r>
            <w:r w:rsidR="00003A64" w:rsidRPr="0060250D">
              <w:rPr>
                <w:rFonts w:asciiTheme="minorHAnsi" w:hAnsiTheme="minorHAnsi"/>
                <w:b/>
              </w:rPr>
              <w:t>e</w:t>
            </w:r>
            <w:r w:rsidRPr="0060250D">
              <w:rPr>
                <w:rFonts w:asciiTheme="minorHAnsi" w:hAnsiTheme="minorHAnsi"/>
                <w:b/>
              </w:rPr>
              <w:t xml:space="preserve">xecution </w:t>
            </w:r>
            <w:r w:rsidR="00003A64" w:rsidRPr="0060250D">
              <w:rPr>
                <w:rFonts w:asciiTheme="minorHAnsi" w:hAnsiTheme="minorHAnsi"/>
                <w:b/>
              </w:rPr>
              <w:t>r</w:t>
            </w:r>
            <w:r w:rsidRPr="0060250D">
              <w:rPr>
                <w:rFonts w:asciiTheme="minorHAnsi" w:hAnsiTheme="minorHAnsi"/>
                <w:b/>
              </w:rPr>
              <w:t>ecords</w:t>
            </w:r>
            <w:r w:rsidR="00D13780">
              <w:rPr>
                <w:rFonts w:asciiTheme="minorHAnsi" w:hAnsiTheme="minorHAnsi" w:cstheme="minorHAnsi"/>
              </w:rPr>
              <w:t>.</w:t>
            </w:r>
          </w:p>
          <w:p w14:paraId="058099CE" w14:textId="6F8808C2" w:rsidR="00AC6448" w:rsidRDefault="00DB4A19" w:rsidP="006F63BB">
            <w:pPr>
              <w:spacing w:after="0" w:line="240" w:lineRule="auto"/>
              <w:ind w:left="355"/>
              <w:rPr>
                <w:rFonts w:asciiTheme="minorHAnsi" w:hAnsiTheme="minorHAnsi" w:cstheme="minorHAnsi"/>
              </w:rPr>
            </w:pPr>
            <w:r w:rsidRPr="0060250D">
              <w:rPr>
                <w:rFonts w:asciiTheme="minorHAnsi" w:hAnsiTheme="minorHAnsi" w:cstheme="minorHAnsi"/>
              </w:rPr>
              <w:t xml:space="preserve">Records </w:t>
            </w:r>
            <w:r w:rsidR="003511FD">
              <w:rPr>
                <w:rFonts w:asciiTheme="minorHAnsi" w:hAnsiTheme="minorHAnsi" w:cstheme="minorHAnsi"/>
              </w:rPr>
              <w:t xml:space="preserve">offices </w:t>
            </w:r>
            <w:r w:rsidRPr="0060250D">
              <w:rPr>
                <w:rFonts w:asciiTheme="minorHAnsi" w:hAnsiTheme="minorHAnsi" w:cstheme="minorHAnsi"/>
              </w:rPr>
              <w:t xml:space="preserve">create and receive </w:t>
            </w:r>
            <w:proofErr w:type="gramStart"/>
            <w:r w:rsidR="003511FD">
              <w:rPr>
                <w:rFonts w:asciiTheme="minorHAnsi" w:hAnsiTheme="minorHAnsi" w:cstheme="minorHAnsi"/>
              </w:rPr>
              <w:t>in the course of</w:t>
            </w:r>
            <w:proofErr w:type="gramEnd"/>
            <w:r w:rsidR="003511FD">
              <w:rPr>
                <w:rFonts w:asciiTheme="minorHAnsi" w:hAnsiTheme="minorHAnsi" w:cstheme="minorHAnsi"/>
              </w:rPr>
              <w:t xml:space="preserve"> </w:t>
            </w:r>
            <w:r w:rsidRPr="0060250D">
              <w:rPr>
                <w:rFonts w:asciiTheme="minorHAnsi" w:hAnsiTheme="minorHAnsi" w:cstheme="minorHAnsi"/>
              </w:rPr>
              <w:t>implementing</w:t>
            </w:r>
            <w:r w:rsidR="001C7704">
              <w:rPr>
                <w:rFonts w:asciiTheme="minorHAnsi" w:hAnsiTheme="minorHAnsi" w:cstheme="minorHAnsi"/>
              </w:rPr>
              <w:t xml:space="preserve"> and tracking</w:t>
            </w:r>
            <w:r w:rsidRPr="0060250D">
              <w:rPr>
                <w:rFonts w:asciiTheme="minorHAnsi" w:hAnsiTheme="minorHAnsi" w:cstheme="minorHAnsi"/>
              </w:rPr>
              <w:t xml:space="preserve"> </w:t>
            </w:r>
            <w:r w:rsidR="008D33BE">
              <w:rPr>
                <w:rFonts w:asciiTheme="minorHAnsi" w:hAnsiTheme="minorHAnsi" w:cstheme="minorHAnsi"/>
              </w:rPr>
              <w:t xml:space="preserve">an </w:t>
            </w:r>
            <w:r w:rsidR="003C2062" w:rsidRPr="005111D3">
              <w:rPr>
                <w:rFonts w:asciiTheme="minorHAnsi" w:hAnsiTheme="minorHAnsi" w:cstheme="minorHAnsi"/>
              </w:rPr>
              <w:t>appropriation</w:t>
            </w:r>
            <w:r w:rsidR="00AC6448" w:rsidRPr="005111D3">
              <w:rPr>
                <w:rFonts w:asciiTheme="minorHAnsi" w:hAnsiTheme="minorHAnsi" w:cstheme="minorHAnsi"/>
              </w:rPr>
              <w:t>.</w:t>
            </w:r>
            <w:r w:rsidR="00AC6448">
              <w:rPr>
                <w:rFonts w:asciiTheme="minorHAnsi" w:hAnsiTheme="minorHAnsi" w:cstheme="minorHAnsi"/>
              </w:rPr>
              <w:t xml:space="preserve"> Includes:</w:t>
            </w:r>
          </w:p>
          <w:p w14:paraId="31991D6C" w14:textId="77777777" w:rsidR="00AC6448" w:rsidRPr="00AC6448" w:rsidRDefault="00DB4A19" w:rsidP="00AC6448">
            <w:pPr>
              <w:pStyle w:val="ListParagraph"/>
              <w:numPr>
                <w:ilvl w:val="0"/>
                <w:numId w:val="21"/>
              </w:numPr>
              <w:spacing w:after="0" w:line="240" w:lineRule="auto"/>
              <w:ind w:left="661" w:hanging="306"/>
              <w:rPr>
                <w:rFonts w:asciiTheme="minorHAnsi" w:hAnsiTheme="minorHAnsi" w:cstheme="minorHAnsi"/>
              </w:rPr>
            </w:pPr>
            <w:r w:rsidRPr="00AC6448">
              <w:rPr>
                <w:rFonts w:asciiTheme="minorHAnsi" w:hAnsiTheme="minorHAnsi" w:cstheme="minorHAnsi"/>
              </w:rPr>
              <w:t>allotment advice, revi</w:t>
            </w:r>
            <w:r w:rsidR="00AC6448" w:rsidRPr="00AC6448">
              <w:rPr>
                <w:rFonts w:asciiTheme="minorHAnsi" w:hAnsiTheme="minorHAnsi" w:cstheme="minorHAnsi"/>
              </w:rPr>
              <w:t>sions, and ceiling limitations</w:t>
            </w:r>
          </w:p>
          <w:p w14:paraId="5A0A8ACE" w14:textId="77777777" w:rsidR="00AC6448" w:rsidRPr="00AC6448" w:rsidRDefault="00DB4A19" w:rsidP="00AC6448">
            <w:pPr>
              <w:pStyle w:val="ListParagraph"/>
              <w:numPr>
                <w:ilvl w:val="0"/>
                <w:numId w:val="21"/>
              </w:numPr>
              <w:spacing w:after="0" w:line="240" w:lineRule="auto"/>
              <w:ind w:left="661" w:hanging="306"/>
              <w:rPr>
                <w:rFonts w:asciiTheme="minorHAnsi" w:hAnsiTheme="minorHAnsi" w:cstheme="minorHAnsi"/>
              </w:rPr>
            </w:pPr>
            <w:r w:rsidRPr="00AC6448">
              <w:rPr>
                <w:rFonts w:asciiTheme="minorHAnsi" w:hAnsiTheme="minorHAnsi" w:cstheme="minorHAnsi"/>
              </w:rPr>
              <w:t>apportionments</w:t>
            </w:r>
            <w:r w:rsidR="00B15A52" w:rsidRPr="0060250D">
              <w:t xml:space="preserve"> and reapportionments</w:t>
            </w:r>
          </w:p>
          <w:p w14:paraId="617BE11E" w14:textId="77777777" w:rsidR="00AC6448" w:rsidRDefault="00B15A52" w:rsidP="00AC6448">
            <w:pPr>
              <w:pStyle w:val="ListParagraph"/>
              <w:numPr>
                <w:ilvl w:val="0"/>
                <w:numId w:val="21"/>
              </w:numPr>
              <w:spacing w:after="0" w:line="240" w:lineRule="auto"/>
              <w:ind w:left="661" w:hanging="306"/>
            </w:pPr>
            <w:r w:rsidRPr="0060250D">
              <w:t>obligations unde</w:t>
            </w:r>
            <w:r w:rsidR="00AC6448">
              <w:t>r each authorized appropriation</w:t>
            </w:r>
          </w:p>
          <w:p w14:paraId="68782565" w14:textId="77777777" w:rsidR="00AC6448" w:rsidRPr="00AC6448" w:rsidRDefault="00DB4A19" w:rsidP="00AC6448">
            <w:pPr>
              <w:pStyle w:val="ListParagraph"/>
              <w:numPr>
                <w:ilvl w:val="0"/>
                <w:numId w:val="21"/>
              </w:numPr>
              <w:spacing w:after="0" w:line="240" w:lineRule="auto"/>
              <w:ind w:left="661" w:hanging="306"/>
              <w:rPr>
                <w:rFonts w:asciiTheme="minorHAnsi" w:hAnsiTheme="minorHAnsi" w:cstheme="minorHAnsi"/>
              </w:rPr>
            </w:pPr>
            <w:r w:rsidRPr="00AC6448">
              <w:rPr>
                <w:rFonts w:asciiTheme="minorHAnsi" w:hAnsiTheme="minorHAnsi" w:cstheme="minorHAnsi"/>
              </w:rPr>
              <w:t>rescissions an</w:t>
            </w:r>
            <w:r w:rsidR="00AC6448" w:rsidRPr="00AC6448">
              <w:rPr>
                <w:rFonts w:asciiTheme="minorHAnsi" w:hAnsiTheme="minorHAnsi" w:cstheme="minorHAnsi"/>
              </w:rPr>
              <w:t>d deferrals</w:t>
            </w:r>
          </w:p>
          <w:p w14:paraId="643F8A4D" w14:textId="77777777" w:rsidR="00AC6448" w:rsidRPr="00AC6448" w:rsidRDefault="00AC6448" w:rsidP="00AC6448">
            <w:pPr>
              <w:pStyle w:val="ListParagraph"/>
              <w:numPr>
                <w:ilvl w:val="0"/>
                <w:numId w:val="21"/>
              </w:numPr>
              <w:spacing w:after="0" w:line="240" w:lineRule="auto"/>
              <w:ind w:left="661" w:hanging="306"/>
              <w:rPr>
                <w:rFonts w:asciiTheme="minorHAnsi" w:hAnsiTheme="minorHAnsi" w:cstheme="minorHAnsi"/>
              </w:rPr>
            </w:pPr>
            <w:r w:rsidRPr="00AC6448">
              <w:rPr>
                <w:rFonts w:asciiTheme="minorHAnsi" w:hAnsiTheme="minorHAnsi" w:cstheme="minorHAnsi"/>
              </w:rPr>
              <w:t>operating budgets</w:t>
            </w:r>
          </w:p>
          <w:p w14:paraId="74A99A6A" w14:textId="77777777" w:rsidR="00AC6448" w:rsidRPr="00AC6448" w:rsidRDefault="00AC6448" w:rsidP="00AC6448">
            <w:pPr>
              <w:pStyle w:val="ListParagraph"/>
              <w:numPr>
                <w:ilvl w:val="0"/>
                <w:numId w:val="21"/>
              </w:numPr>
              <w:spacing w:after="0" w:line="240" w:lineRule="auto"/>
              <w:ind w:left="661" w:hanging="306"/>
              <w:rPr>
                <w:rFonts w:asciiTheme="minorHAnsi" w:hAnsiTheme="minorHAnsi" w:cstheme="minorHAnsi"/>
              </w:rPr>
            </w:pPr>
            <w:r w:rsidRPr="00AC6448">
              <w:rPr>
                <w:rFonts w:asciiTheme="minorHAnsi" w:hAnsiTheme="minorHAnsi" w:cstheme="minorHAnsi"/>
              </w:rPr>
              <w:t>outlay plans</w:t>
            </w:r>
          </w:p>
          <w:p w14:paraId="2995CAAC" w14:textId="77777777" w:rsidR="00CD0C8C" w:rsidRDefault="00CD0C8C" w:rsidP="00A201F9">
            <w:pPr>
              <w:pStyle w:val="ListParagraph"/>
              <w:numPr>
                <w:ilvl w:val="0"/>
                <w:numId w:val="21"/>
              </w:numPr>
              <w:spacing w:after="0" w:line="240" w:lineRule="auto"/>
              <w:ind w:left="661" w:hanging="306"/>
              <w:rPr>
                <w:rFonts w:asciiTheme="minorHAnsi" w:hAnsiTheme="minorHAnsi" w:cstheme="minorHAnsi"/>
              </w:rPr>
            </w:pPr>
            <w:r w:rsidRPr="00CD0C8C">
              <w:rPr>
                <w:rFonts w:asciiTheme="minorHAnsi" w:hAnsiTheme="minorHAnsi" w:cstheme="minorHAnsi"/>
              </w:rPr>
              <w:t>fund utilization records</w:t>
            </w:r>
          </w:p>
          <w:p w14:paraId="728CED31" w14:textId="77777777" w:rsidR="00AC6448" w:rsidRPr="00CD0C8C" w:rsidRDefault="00AC6448" w:rsidP="00A201F9">
            <w:pPr>
              <w:pStyle w:val="ListParagraph"/>
              <w:numPr>
                <w:ilvl w:val="0"/>
                <w:numId w:val="21"/>
              </w:numPr>
              <w:spacing w:after="0" w:line="240" w:lineRule="auto"/>
              <w:ind w:left="661" w:hanging="306"/>
              <w:rPr>
                <w:rFonts w:asciiTheme="minorHAnsi" w:hAnsiTheme="minorHAnsi" w:cstheme="minorHAnsi"/>
              </w:rPr>
            </w:pPr>
            <w:r w:rsidRPr="00CD0C8C">
              <w:rPr>
                <w:rFonts w:asciiTheme="minorHAnsi" w:hAnsiTheme="minorHAnsi" w:cstheme="minorHAnsi"/>
              </w:rPr>
              <w:t>fund reviews</w:t>
            </w:r>
          </w:p>
          <w:p w14:paraId="2374604C" w14:textId="77777777" w:rsidR="00AC6448" w:rsidRPr="00AC6448" w:rsidRDefault="00DB4A19" w:rsidP="00AC6448">
            <w:pPr>
              <w:pStyle w:val="ListParagraph"/>
              <w:numPr>
                <w:ilvl w:val="0"/>
                <w:numId w:val="21"/>
              </w:numPr>
              <w:spacing w:after="0" w:line="240" w:lineRule="auto"/>
              <w:ind w:left="661" w:hanging="306"/>
              <w:rPr>
                <w:rFonts w:asciiTheme="minorHAnsi" w:hAnsiTheme="minorHAnsi" w:cstheme="minorHAnsi"/>
              </w:rPr>
            </w:pPr>
            <w:r w:rsidRPr="00AC6448">
              <w:rPr>
                <w:rFonts w:asciiTheme="minorHAnsi" w:hAnsiTheme="minorHAnsi" w:cstheme="minorHAnsi"/>
              </w:rPr>
              <w:t xml:space="preserve">workforce </w:t>
            </w:r>
            <w:r w:rsidR="00AC6448" w:rsidRPr="00AC6448">
              <w:rPr>
                <w:rFonts w:asciiTheme="minorHAnsi" w:hAnsiTheme="minorHAnsi" w:cstheme="minorHAnsi"/>
              </w:rPr>
              <w:t>authorization and distribution</w:t>
            </w:r>
          </w:p>
          <w:p w14:paraId="429F01E0" w14:textId="77777777" w:rsidR="00AC6448" w:rsidRPr="00AC6448" w:rsidRDefault="00AC6448" w:rsidP="00AC6448">
            <w:pPr>
              <w:pStyle w:val="ListParagraph"/>
              <w:numPr>
                <w:ilvl w:val="0"/>
                <w:numId w:val="21"/>
              </w:numPr>
              <w:spacing w:after="0" w:line="240" w:lineRule="auto"/>
              <w:ind w:left="661" w:hanging="306"/>
              <w:rPr>
                <w:rFonts w:asciiTheme="minorHAnsi" w:hAnsiTheme="minorHAnsi" w:cstheme="minorHAnsi"/>
              </w:rPr>
            </w:pPr>
            <w:r w:rsidRPr="00AC6448">
              <w:rPr>
                <w:rFonts w:asciiTheme="minorHAnsi" w:hAnsiTheme="minorHAnsi" w:cstheme="minorHAnsi"/>
              </w:rPr>
              <w:t>continuing resolution guidance</w:t>
            </w:r>
          </w:p>
          <w:p w14:paraId="6917C60A" w14:textId="77777777" w:rsidR="00AC6448" w:rsidRPr="00AC6448" w:rsidRDefault="00AC6448" w:rsidP="00AC6448">
            <w:pPr>
              <w:pStyle w:val="ListParagraph"/>
              <w:numPr>
                <w:ilvl w:val="0"/>
                <w:numId w:val="21"/>
              </w:numPr>
              <w:spacing w:after="0" w:line="240" w:lineRule="auto"/>
              <w:ind w:left="661" w:hanging="306"/>
              <w:rPr>
                <w:rFonts w:asciiTheme="minorHAnsi" w:hAnsiTheme="minorHAnsi" w:cstheme="minorHAnsi"/>
              </w:rPr>
            </w:pPr>
            <w:r w:rsidRPr="00AC6448">
              <w:rPr>
                <w:rFonts w:asciiTheme="minorHAnsi" w:hAnsiTheme="minorHAnsi" w:cstheme="minorHAnsi"/>
              </w:rPr>
              <w:t>calculations</w:t>
            </w:r>
          </w:p>
          <w:p w14:paraId="50155B67" w14:textId="77777777" w:rsidR="00AC6448" w:rsidRDefault="00AC6448" w:rsidP="00AC6448">
            <w:pPr>
              <w:pStyle w:val="ListParagraph"/>
              <w:numPr>
                <w:ilvl w:val="0"/>
                <w:numId w:val="21"/>
              </w:numPr>
              <w:spacing w:after="0" w:line="240" w:lineRule="auto"/>
              <w:ind w:left="661" w:hanging="306"/>
              <w:rPr>
                <w:rFonts w:asciiTheme="minorHAnsi" w:hAnsiTheme="minorHAnsi" w:cstheme="minorHAnsi"/>
              </w:rPr>
            </w:pPr>
            <w:r w:rsidRPr="00AC6448">
              <w:rPr>
                <w:rFonts w:asciiTheme="minorHAnsi" w:hAnsiTheme="minorHAnsi" w:cstheme="minorHAnsi"/>
              </w:rPr>
              <w:t>impact statements</w:t>
            </w:r>
          </w:p>
          <w:p w14:paraId="4BF3DC73" w14:textId="655D14DF" w:rsidR="00831D3C" w:rsidRPr="00AC6448" w:rsidRDefault="00831D3C" w:rsidP="00AC6448">
            <w:pPr>
              <w:pStyle w:val="ListParagraph"/>
              <w:numPr>
                <w:ilvl w:val="0"/>
                <w:numId w:val="21"/>
              </w:numPr>
              <w:spacing w:after="0" w:line="240" w:lineRule="auto"/>
              <w:ind w:left="661" w:hanging="306"/>
              <w:rPr>
                <w:rFonts w:asciiTheme="minorHAnsi" w:hAnsiTheme="minorHAnsi" w:cstheme="minorHAnsi"/>
              </w:rPr>
            </w:pPr>
            <w:r>
              <w:rPr>
                <w:rFonts w:asciiTheme="minorHAnsi" w:hAnsiTheme="minorHAnsi" w:cstheme="minorHAnsi"/>
              </w:rPr>
              <w:t>carryover requests</w:t>
            </w:r>
          </w:p>
          <w:p w14:paraId="5E605C3A" w14:textId="77777777" w:rsidR="00DB4A19" w:rsidRPr="00AC6448" w:rsidRDefault="00AC6448" w:rsidP="00AC6448">
            <w:pPr>
              <w:pStyle w:val="ListParagraph"/>
              <w:numPr>
                <w:ilvl w:val="0"/>
                <w:numId w:val="21"/>
              </w:numPr>
              <w:spacing w:after="0" w:line="240" w:lineRule="auto"/>
              <w:ind w:left="661" w:hanging="306"/>
              <w:rPr>
                <w:rFonts w:asciiTheme="minorHAnsi" w:hAnsiTheme="minorHAnsi" w:cstheme="minorHAnsi"/>
              </w:rPr>
            </w:pPr>
            <w:r w:rsidRPr="00AC6448">
              <w:rPr>
                <w:rFonts w:asciiTheme="minorHAnsi" w:hAnsiTheme="minorHAnsi" w:cstheme="minorHAnsi"/>
              </w:rPr>
              <w:t>related records</w:t>
            </w:r>
          </w:p>
          <w:p w14:paraId="31BF06CC" w14:textId="77777777" w:rsidR="00B15A52" w:rsidRPr="0060250D" w:rsidRDefault="00B15A52" w:rsidP="006F63BB">
            <w:pPr>
              <w:spacing w:after="0" w:line="240" w:lineRule="auto"/>
              <w:ind w:left="355"/>
              <w:rPr>
                <w:rFonts w:asciiTheme="minorHAnsi" w:hAnsiTheme="minorHAnsi" w:cstheme="minorHAnsi"/>
              </w:rPr>
            </w:pPr>
          </w:p>
          <w:p w14:paraId="78351FA2" w14:textId="4B8D3C5C" w:rsidR="006D612F" w:rsidRPr="0060250D" w:rsidRDefault="00C16888" w:rsidP="008F6CAB">
            <w:pPr>
              <w:spacing w:after="0" w:line="240" w:lineRule="auto"/>
              <w:ind w:left="355"/>
              <w:rPr>
                <w:rFonts w:asciiTheme="minorHAnsi" w:hAnsiTheme="minorHAnsi" w:cstheme="minorHAnsi"/>
              </w:rPr>
            </w:pPr>
            <w:r w:rsidRPr="0060250D">
              <w:rPr>
                <w:rFonts w:asciiTheme="minorHAnsi" w:hAnsiTheme="minorHAnsi" w:cstheme="minorHAnsi"/>
                <w:b/>
              </w:rPr>
              <w:t xml:space="preserve">Exclusion:  </w:t>
            </w:r>
            <w:r w:rsidR="008F74EE" w:rsidRPr="0060250D">
              <w:rPr>
                <w:rFonts w:asciiTheme="minorHAnsi" w:hAnsiTheme="minorHAnsi" w:cstheme="minorHAnsi"/>
              </w:rPr>
              <w:t>Formal b</w:t>
            </w:r>
            <w:r w:rsidRPr="0060250D">
              <w:rPr>
                <w:rFonts w:asciiTheme="minorHAnsi" w:hAnsiTheme="minorHAnsi" w:cstheme="minorHAnsi"/>
              </w:rPr>
              <w:t>udget reports are covered in items 0</w:t>
            </w:r>
            <w:r w:rsidR="00F84E32">
              <w:rPr>
                <w:rFonts w:asciiTheme="minorHAnsi" w:hAnsiTheme="minorHAnsi" w:cstheme="minorHAnsi"/>
              </w:rPr>
              <w:t>3</w:t>
            </w:r>
            <w:r w:rsidRPr="0060250D">
              <w:rPr>
                <w:rFonts w:asciiTheme="minorHAnsi" w:hAnsiTheme="minorHAnsi" w:cstheme="minorHAnsi"/>
              </w:rPr>
              <w:t>0 and 0</w:t>
            </w:r>
            <w:r w:rsidR="00F84E32">
              <w:rPr>
                <w:rFonts w:asciiTheme="minorHAnsi" w:hAnsiTheme="minorHAnsi" w:cstheme="minorHAnsi"/>
              </w:rPr>
              <w:t>3</w:t>
            </w:r>
            <w:r w:rsidRPr="0060250D">
              <w:rPr>
                <w:rFonts w:asciiTheme="minorHAnsi" w:hAnsiTheme="minorHAnsi" w:cstheme="minorHAnsi"/>
              </w:rPr>
              <w:t>1.</w:t>
            </w:r>
          </w:p>
        </w:tc>
        <w:tc>
          <w:tcPr>
            <w:tcW w:w="2430" w:type="dxa"/>
          </w:tcPr>
          <w:p w14:paraId="290B8124" w14:textId="77777777" w:rsidR="00DB4A19" w:rsidRPr="0060250D" w:rsidRDefault="00DB4A19" w:rsidP="003E4224">
            <w:pPr>
              <w:spacing w:after="0" w:line="240" w:lineRule="auto"/>
              <w:contextualSpacing/>
              <w:rPr>
                <w:rFonts w:asciiTheme="minorHAnsi" w:hAnsiTheme="minorHAnsi" w:cstheme="minorHAnsi"/>
              </w:rPr>
            </w:pPr>
            <w:r w:rsidRPr="0060250D">
              <w:rPr>
                <w:rFonts w:asciiTheme="minorHAnsi" w:hAnsiTheme="minorHAnsi"/>
                <w:b/>
              </w:rPr>
              <w:t>Temporary</w:t>
            </w:r>
            <w:r w:rsidRPr="0060250D">
              <w:rPr>
                <w:rFonts w:asciiTheme="minorHAnsi" w:hAnsiTheme="minorHAnsi"/>
              </w:rPr>
              <w:t xml:space="preserve">.  </w:t>
            </w:r>
            <w:r w:rsidR="00D248AC" w:rsidRPr="009B5CDD">
              <w:t xml:space="preserve">Destroy </w:t>
            </w:r>
            <w:r w:rsidR="00342646" w:rsidRPr="009B5CDD">
              <w:t>6</w:t>
            </w:r>
            <w:r w:rsidR="00D248AC" w:rsidRPr="0060250D">
              <w:t xml:space="preserve"> years </w:t>
            </w:r>
            <w:r w:rsidR="00B15A52" w:rsidRPr="0060250D">
              <w:t>after close of fiscal year,</w:t>
            </w:r>
            <w:r w:rsidR="00D248AC" w:rsidRPr="0060250D">
              <w:t xml:space="preserve"> but longer retention is authorized if required for business use.  </w:t>
            </w:r>
          </w:p>
        </w:tc>
        <w:tc>
          <w:tcPr>
            <w:tcW w:w="1292" w:type="dxa"/>
          </w:tcPr>
          <w:p w14:paraId="3965FC26" w14:textId="77777777" w:rsidR="00DB4A19" w:rsidRPr="0060250D" w:rsidRDefault="00DB4A19" w:rsidP="00F84E32">
            <w:pPr>
              <w:spacing w:after="0" w:line="240" w:lineRule="auto"/>
              <w:rPr>
                <w:rFonts w:asciiTheme="minorHAnsi" w:hAnsiTheme="minorHAnsi" w:cstheme="minorHAnsi"/>
              </w:rPr>
            </w:pPr>
            <w:r w:rsidRPr="0060250D">
              <w:rPr>
                <w:rFonts w:cstheme="minorHAnsi"/>
              </w:rPr>
              <w:t>DAA-GRS-2015-000</w:t>
            </w:r>
            <w:r w:rsidR="00F84E32">
              <w:rPr>
                <w:rFonts w:cstheme="minorHAnsi"/>
              </w:rPr>
              <w:t>6</w:t>
            </w:r>
            <w:r w:rsidRPr="0060250D">
              <w:rPr>
                <w:rFonts w:cstheme="minorHAnsi"/>
              </w:rPr>
              <w:t>-000</w:t>
            </w:r>
            <w:r w:rsidR="006C0AE2">
              <w:rPr>
                <w:rFonts w:cstheme="minorHAnsi"/>
              </w:rPr>
              <w:t>2</w:t>
            </w:r>
          </w:p>
        </w:tc>
      </w:tr>
      <w:tr w:rsidR="00DB4A19" w:rsidRPr="00761183" w14:paraId="67DBD4D9" w14:textId="77777777" w:rsidTr="0022568E">
        <w:trPr>
          <w:trHeight w:val="540"/>
        </w:trPr>
        <w:tc>
          <w:tcPr>
            <w:tcW w:w="655" w:type="dxa"/>
          </w:tcPr>
          <w:p w14:paraId="105295BF" w14:textId="77777777" w:rsidR="00DB4A19" w:rsidRPr="0060250D" w:rsidRDefault="001A30DC" w:rsidP="002F518F">
            <w:pPr>
              <w:spacing w:after="0" w:line="240" w:lineRule="auto"/>
              <w:jc w:val="center"/>
              <w:rPr>
                <w:rFonts w:asciiTheme="minorHAnsi" w:hAnsiTheme="minorHAnsi"/>
              </w:rPr>
            </w:pPr>
            <w:r w:rsidRPr="0060250D">
              <w:rPr>
                <w:rFonts w:asciiTheme="minorHAnsi" w:hAnsiTheme="minorHAnsi"/>
              </w:rPr>
              <w:t>0</w:t>
            </w:r>
            <w:r w:rsidR="002F518F">
              <w:rPr>
                <w:rFonts w:asciiTheme="minorHAnsi" w:hAnsiTheme="minorHAnsi"/>
              </w:rPr>
              <w:t>3</w:t>
            </w:r>
            <w:r w:rsidRPr="0060250D">
              <w:rPr>
                <w:rFonts w:asciiTheme="minorHAnsi" w:hAnsiTheme="minorHAnsi"/>
              </w:rPr>
              <w:t>0</w:t>
            </w:r>
          </w:p>
        </w:tc>
        <w:tc>
          <w:tcPr>
            <w:tcW w:w="7445" w:type="dxa"/>
            <w:gridSpan w:val="2"/>
            <w:vMerge w:val="restart"/>
          </w:tcPr>
          <w:p w14:paraId="4B478937" w14:textId="77777777" w:rsidR="00C16888" w:rsidRPr="0060250D" w:rsidRDefault="00C16888" w:rsidP="00DB4A19">
            <w:pPr>
              <w:spacing w:after="0" w:line="240" w:lineRule="auto"/>
              <w:rPr>
                <w:rFonts w:asciiTheme="minorHAnsi" w:hAnsiTheme="minorHAnsi" w:cs="Times New Roman PS Std"/>
                <w:b/>
                <w:bCs/>
                <w:color w:val="000000"/>
              </w:rPr>
            </w:pPr>
            <w:r w:rsidRPr="0060250D">
              <w:rPr>
                <w:rFonts w:asciiTheme="minorHAnsi" w:hAnsiTheme="minorHAnsi" w:cs="Times New Roman PS Std"/>
                <w:b/>
                <w:bCs/>
                <w:color w:val="000000"/>
              </w:rPr>
              <w:t xml:space="preserve">Budget </w:t>
            </w:r>
            <w:r w:rsidR="00003A64" w:rsidRPr="0060250D">
              <w:rPr>
                <w:rFonts w:asciiTheme="minorHAnsi" w:hAnsiTheme="minorHAnsi" w:cs="Times New Roman PS Std"/>
                <w:b/>
                <w:bCs/>
                <w:color w:val="000000"/>
              </w:rPr>
              <w:t>r</w:t>
            </w:r>
            <w:r w:rsidR="00DB4A19" w:rsidRPr="0060250D">
              <w:rPr>
                <w:rFonts w:asciiTheme="minorHAnsi" w:hAnsiTheme="minorHAnsi" w:cs="Times New Roman PS Std"/>
                <w:b/>
                <w:bCs/>
                <w:color w:val="000000"/>
              </w:rPr>
              <w:t xml:space="preserve">eports.  </w:t>
            </w:r>
          </w:p>
          <w:p w14:paraId="1267F21A" w14:textId="77777777" w:rsidR="00DB4A19" w:rsidRPr="0060250D" w:rsidRDefault="00DB4A19" w:rsidP="00D13780">
            <w:pPr>
              <w:spacing w:after="0" w:line="240" w:lineRule="auto"/>
              <w:ind w:left="400"/>
              <w:rPr>
                <w:rFonts w:asciiTheme="minorHAnsi" w:hAnsiTheme="minorHAnsi" w:cs="Times New Roman PS Std"/>
                <w:bCs/>
                <w:color w:val="000000"/>
              </w:rPr>
            </w:pPr>
            <w:r w:rsidRPr="0060250D">
              <w:rPr>
                <w:rFonts w:asciiTheme="minorHAnsi" w:hAnsiTheme="minorHAnsi" w:cs="Times New Roman PS Std"/>
                <w:bCs/>
                <w:color w:val="000000"/>
              </w:rPr>
              <w:t>Standard Form 133, Report on Budget Execution and Budgetary Resources</w:t>
            </w:r>
            <w:r w:rsidR="005337E0" w:rsidRPr="0060250D">
              <w:rPr>
                <w:rFonts w:asciiTheme="minorHAnsi" w:hAnsiTheme="minorHAnsi" w:cs="Times New Roman PS Std"/>
                <w:bCs/>
                <w:color w:val="000000"/>
              </w:rPr>
              <w:t xml:space="preserve">, </w:t>
            </w:r>
            <w:r w:rsidRPr="0060250D">
              <w:rPr>
                <w:rFonts w:asciiTheme="minorHAnsi" w:hAnsiTheme="minorHAnsi" w:cs="Times New Roman PS Std"/>
                <w:bCs/>
                <w:color w:val="000000"/>
              </w:rPr>
              <w:t>or equivalent.</w:t>
            </w:r>
            <w:r w:rsidR="00C16888" w:rsidRPr="0060250D">
              <w:rPr>
                <w:rFonts w:asciiTheme="minorHAnsi" w:hAnsiTheme="minorHAnsi" w:cstheme="minorHAnsi"/>
              </w:rPr>
              <w:t xml:space="preserve">  P</w:t>
            </w:r>
            <w:r w:rsidR="00C16888" w:rsidRPr="0060250D">
              <w:t xml:space="preserve">eriodic status reports on </w:t>
            </w:r>
            <w:r w:rsidR="00116507" w:rsidRPr="0060250D">
              <w:t xml:space="preserve">agency’s proposed rate of expenditure, </w:t>
            </w:r>
            <w:r w:rsidR="00C16888" w:rsidRPr="0060250D">
              <w:t xml:space="preserve">appropriations, obligations, </w:t>
            </w:r>
            <w:proofErr w:type="gramStart"/>
            <w:r w:rsidR="00C16888" w:rsidRPr="0060250D">
              <w:t>apportionments</w:t>
            </w:r>
            <w:proofErr w:type="gramEnd"/>
            <w:r w:rsidR="00C16888" w:rsidRPr="0060250D">
              <w:t xml:space="preserve"> and outlays.</w:t>
            </w:r>
          </w:p>
        </w:tc>
        <w:tc>
          <w:tcPr>
            <w:tcW w:w="2700" w:type="dxa"/>
          </w:tcPr>
          <w:p w14:paraId="38BF913C" w14:textId="77777777" w:rsidR="00DB4A19" w:rsidRPr="0060250D" w:rsidRDefault="00C16888" w:rsidP="00DB4A19">
            <w:pPr>
              <w:autoSpaceDE w:val="0"/>
              <w:autoSpaceDN w:val="0"/>
              <w:adjustRightInd w:val="0"/>
              <w:spacing w:after="0" w:line="240" w:lineRule="auto"/>
              <w:rPr>
                <w:rFonts w:asciiTheme="minorHAnsi" w:hAnsiTheme="minorHAnsi" w:cs="Times New Roman PS Std"/>
                <w:b/>
                <w:bCs/>
                <w:color w:val="000000"/>
              </w:rPr>
            </w:pPr>
            <w:r w:rsidRPr="0060250D">
              <w:rPr>
                <w:rFonts w:asciiTheme="minorHAnsi" w:hAnsiTheme="minorHAnsi" w:cs="Times New Roman PS Std"/>
                <w:b/>
                <w:bCs/>
                <w:color w:val="000000"/>
              </w:rPr>
              <w:t xml:space="preserve">Full </w:t>
            </w:r>
            <w:r w:rsidR="00DB4A19" w:rsidRPr="0060250D">
              <w:rPr>
                <w:rFonts w:asciiTheme="minorHAnsi" w:hAnsiTheme="minorHAnsi" w:cs="Times New Roman PS Std"/>
                <w:b/>
                <w:bCs/>
                <w:color w:val="000000"/>
              </w:rPr>
              <w:t>fiscal-year reports.</w:t>
            </w:r>
          </w:p>
          <w:p w14:paraId="283370B5" w14:textId="77777777" w:rsidR="001A30DC" w:rsidRPr="0060250D" w:rsidRDefault="001A30DC" w:rsidP="000C32B5">
            <w:pPr>
              <w:autoSpaceDE w:val="0"/>
              <w:autoSpaceDN w:val="0"/>
              <w:adjustRightInd w:val="0"/>
              <w:spacing w:after="0" w:line="240" w:lineRule="auto"/>
              <w:rPr>
                <w:rFonts w:asciiTheme="minorHAnsi" w:hAnsiTheme="minorHAnsi" w:cs="Times New Roman PS Std"/>
                <w:b/>
                <w:bCs/>
                <w:color w:val="000000"/>
              </w:rPr>
            </w:pPr>
          </w:p>
        </w:tc>
        <w:tc>
          <w:tcPr>
            <w:tcW w:w="2430" w:type="dxa"/>
          </w:tcPr>
          <w:p w14:paraId="58779549" w14:textId="77777777" w:rsidR="00DB4A19" w:rsidRPr="0060250D" w:rsidRDefault="00C16888" w:rsidP="003511FD">
            <w:pPr>
              <w:spacing w:after="0" w:line="240" w:lineRule="auto"/>
              <w:contextualSpacing/>
              <w:rPr>
                <w:rFonts w:asciiTheme="minorHAnsi" w:hAnsiTheme="minorHAnsi"/>
                <w:b/>
              </w:rPr>
            </w:pPr>
            <w:r w:rsidRPr="0060250D">
              <w:rPr>
                <w:rFonts w:asciiTheme="minorHAnsi" w:hAnsiTheme="minorHAnsi"/>
                <w:b/>
              </w:rPr>
              <w:t>Temporary.</w:t>
            </w:r>
            <w:r w:rsidR="001A30DC" w:rsidRPr="0060250D">
              <w:rPr>
                <w:rFonts w:asciiTheme="minorHAnsi" w:hAnsiTheme="minorHAnsi"/>
                <w:b/>
              </w:rPr>
              <w:t xml:space="preserve">  </w:t>
            </w:r>
            <w:r w:rsidR="001A30DC" w:rsidRPr="0060250D">
              <w:t>Destroy when 5 years old</w:t>
            </w:r>
            <w:r w:rsidR="003511FD">
              <w:t>,</w:t>
            </w:r>
            <w:r w:rsidR="001A30DC" w:rsidRPr="0060250D">
              <w:t xml:space="preserve"> but longer retention is authorized if required for business use.</w:t>
            </w:r>
          </w:p>
        </w:tc>
        <w:tc>
          <w:tcPr>
            <w:tcW w:w="1292" w:type="dxa"/>
          </w:tcPr>
          <w:p w14:paraId="7EA700EF" w14:textId="77777777" w:rsidR="00DB4A19" w:rsidRPr="0060250D" w:rsidRDefault="00C16888" w:rsidP="00F84E32">
            <w:pPr>
              <w:spacing w:after="0" w:line="240" w:lineRule="auto"/>
              <w:rPr>
                <w:rFonts w:cstheme="minorHAnsi"/>
              </w:rPr>
            </w:pPr>
            <w:r w:rsidRPr="0060250D">
              <w:rPr>
                <w:rFonts w:cstheme="minorHAnsi"/>
              </w:rPr>
              <w:t>DAA-GRS-2015-000</w:t>
            </w:r>
            <w:r w:rsidR="00F84E32">
              <w:rPr>
                <w:rFonts w:cstheme="minorHAnsi"/>
              </w:rPr>
              <w:t>6</w:t>
            </w:r>
            <w:r w:rsidRPr="0060250D">
              <w:rPr>
                <w:rFonts w:cstheme="minorHAnsi"/>
              </w:rPr>
              <w:t>-000</w:t>
            </w:r>
            <w:r w:rsidR="006C0AE2">
              <w:rPr>
                <w:rFonts w:cstheme="minorHAnsi"/>
              </w:rPr>
              <w:t>3</w:t>
            </w:r>
          </w:p>
        </w:tc>
      </w:tr>
      <w:tr w:rsidR="00DB4A19" w:rsidRPr="00761183" w14:paraId="4E84299B" w14:textId="77777777" w:rsidTr="0048388D">
        <w:trPr>
          <w:trHeight w:val="540"/>
        </w:trPr>
        <w:tc>
          <w:tcPr>
            <w:tcW w:w="655" w:type="dxa"/>
            <w:tcBorders>
              <w:bottom w:val="single" w:sz="4" w:space="0" w:color="auto"/>
            </w:tcBorders>
          </w:tcPr>
          <w:p w14:paraId="778164C4" w14:textId="77777777" w:rsidR="00DB4A19" w:rsidRPr="0060250D" w:rsidRDefault="001A30DC" w:rsidP="002F518F">
            <w:pPr>
              <w:spacing w:after="0" w:line="240" w:lineRule="auto"/>
              <w:jc w:val="center"/>
              <w:rPr>
                <w:rFonts w:asciiTheme="minorHAnsi" w:hAnsiTheme="minorHAnsi"/>
              </w:rPr>
            </w:pPr>
            <w:r w:rsidRPr="0060250D">
              <w:rPr>
                <w:rFonts w:asciiTheme="minorHAnsi" w:hAnsiTheme="minorHAnsi"/>
              </w:rPr>
              <w:t>0</w:t>
            </w:r>
            <w:r w:rsidR="002F518F">
              <w:rPr>
                <w:rFonts w:asciiTheme="minorHAnsi" w:hAnsiTheme="minorHAnsi"/>
              </w:rPr>
              <w:t>3</w:t>
            </w:r>
            <w:r w:rsidRPr="0060250D">
              <w:rPr>
                <w:rFonts w:asciiTheme="minorHAnsi" w:hAnsiTheme="minorHAnsi"/>
              </w:rPr>
              <w:t>1</w:t>
            </w:r>
          </w:p>
        </w:tc>
        <w:tc>
          <w:tcPr>
            <w:tcW w:w="7445" w:type="dxa"/>
            <w:gridSpan w:val="2"/>
            <w:vMerge/>
            <w:tcBorders>
              <w:bottom w:val="single" w:sz="4" w:space="0" w:color="auto"/>
            </w:tcBorders>
          </w:tcPr>
          <w:p w14:paraId="3A03AE89" w14:textId="77777777" w:rsidR="00DB4A19" w:rsidRPr="0060250D" w:rsidRDefault="00DB4A19" w:rsidP="00DB4A19">
            <w:pPr>
              <w:spacing w:after="0" w:line="240" w:lineRule="auto"/>
              <w:rPr>
                <w:rFonts w:asciiTheme="minorHAnsi" w:hAnsiTheme="minorHAnsi" w:cs="Times New Roman PS Std"/>
                <w:b/>
                <w:bCs/>
                <w:color w:val="000000"/>
              </w:rPr>
            </w:pPr>
          </w:p>
        </w:tc>
        <w:tc>
          <w:tcPr>
            <w:tcW w:w="2700" w:type="dxa"/>
            <w:tcBorders>
              <w:bottom w:val="single" w:sz="4" w:space="0" w:color="auto"/>
            </w:tcBorders>
          </w:tcPr>
          <w:p w14:paraId="3A4B9703" w14:textId="77777777" w:rsidR="00DB4A19" w:rsidRPr="0060250D" w:rsidRDefault="00C16888" w:rsidP="00DB4A19">
            <w:pPr>
              <w:autoSpaceDE w:val="0"/>
              <w:autoSpaceDN w:val="0"/>
              <w:adjustRightInd w:val="0"/>
              <w:spacing w:after="0" w:line="240" w:lineRule="auto"/>
              <w:rPr>
                <w:rFonts w:asciiTheme="minorHAnsi" w:hAnsiTheme="minorHAnsi" w:cs="Times New Roman PS Std"/>
                <w:b/>
                <w:bCs/>
                <w:color w:val="000000"/>
              </w:rPr>
            </w:pPr>
            <w:r w:rsidRPr="0060250D">
              <w:rPr>
                <w:rFonts w:asciiTheme="minorHAnsi" w:hAnsiTheme="minorHAnsi" w:cs="Times New Roman PS Std"/>
                <w:b/>
                <w:bCs/>
                <w:color w:val="000000"/>
              </w:rPr>
              <w:t>All other reports.</w:t>
            </w:r>
          </w:p>
          <w:p w14:paraId="00ED0E62" w14:textId="77777777" w:rsidR="001A30DC" w:rsidRPr="0060250D" w:rsidRDefault="001A30DC" w:rsidP="000C32B5">
            <w:pPr>
              <w:autoSpaceDE w:val="0"/>
              <w:autoSpaceDN w:val="0"/>
              <w:adjustRightInd w:val="0"/>
              <w:spacing w:after="0" w:line="240" w:lineRule="auto"/>
              <w:rPr>
                <w:rFonts w:asciiTheme="minorHAnsi" w:hAnsiTheme="minorHAnsi" w:cs="Times New Roman PS Std"/>
                <w:b/>
                <w:bCs/>
                <w:color w:val="000000"/>
              </w:rPr>
            </w:pPr>
          </w:p>
        </w:tc>
        <w:tc>
          <w:tcPr>
            <w:tcW w:w="2430" w:type="dxa"/>
            <w:tcBorders>
              <w:bottom w:val="single" w:sz="4" w:space="0" w:color="auto"/>
            </w:tcBorders>
          </w:tcPr>
          <w:p w14:paraId="214D733C" w14:textId="49A2C08A" w:rsidR="005111D3" w:rsidRPr="0060250D" w:rsidRDefault="002D6C2D" w:rsidP="006D612F">
            <w:pPr>
              <w:spacing w:after="0" w:line="240" w:lineRule="auto"/>
              <w:contextualSpacing/>
              <w:rPr>
                <w:rFonts w:asciiTheme="minorHAnsi" w:hAnsiTheme="minorHAnsi"/>
                <w:b/>
              </w:rPr>
            </w:pPr>
            <w:r w:rsidRPr="0060250D">
              <w:rPr>
                <w:rFonts w:asciiTheme="minorHAnsi" w:hAnsiTheme="minorHAnsi"/>
                <w:b/>
              </w:rPr>
              <w:t xml:space="preserve">Temporary.  </w:t>
            </w:r>
            <w:r w:rsidRPr="0060250D">
              <w:t>Destroy when 3 years old</w:t>
            </w:r>
            <w:r>
              <w:t>,</w:t>
            </w:r>
            <w:r w:rsidRPr="0060250D">
              <w:t xml:space="preserve"> but longer retention is authorized if required for business use.</w:t>
            </w:r>
          </w:p>
        </w:tc>
        <w:tc>
          <w:tcPr>
            <w:tcW w:w="1292" w:type="dxa"/>
            <w:tcBorders>
              <w:bottom w:val="single" w:sz="4" w:space="0" w:color="auto"/>
            </w:tcBorders>
          </w:tcPr>
          <w:p w14:paraId="334A9007" w14:textId="77777777" w:rsidR="00DB4A19" w:rsidRPr="0060250D" w:rsidRDefault="00C16888" w:rsidP="00F84E32">
            <w:pPr>
              <w:spacing w:after="0" w:line="240" w:lineRule="auto"/>
              <w:rPr>
                <w:rFonts w:cstheme="minorHAnsi"/>
              </w:rPr>
            </w:pPr>
            <w:r w:rsidRPr="0060250D">
              <w:rPr>
                <w:rFonts w:cstheme="minorHAnsi"/>
              </w:rPr>
              <w:t>DAA-GRS-2015-000</w:t>
            </w:r>
            <w:r w:rsidR="00F84E32">
              <w:rPr>
                <w:rFonts w:cstheme="minorHAnsi"/>
              </w:rPr>
              <w:t>6</w:t>
            </w:r>
            <w:r w:rsidRPr="0060250D">
              <w:rPr>
                <w:rFonts w:cstheme="minorHAnsi"/>
              </w:rPr>
              <w:t>-000</w:t>
            </w:r>
            <w:r w:rsidR="006C0AE2">
              <w:rPr>
                <w:rFonts w:cstheme="minorHAnsi"/>
              </w:rPr>
              <w:t>4</w:t>
            </w:r>
          </w:p>
        </w:tc>
      </w:tr>
      <w:tr w:rsidR="00806E92" w:rsidRPr="0060250D" w14:paraId="2302136D" w14:textId="77777777" w:rsidTr="0048388D">
        <w:tc>
          <w:tcPr>
            <w:tcW w:w="14522" w:type="dxa"/>
            <w:gridSpan w:val="6"/>
            <w:shd w:val="clear" w:color="auto" w:fill="D9D9D9" w:themeFill="background1" w:themeFillShade="D9"/>
          </w:tcPr>
          <w:p w14:paraId="3F3D0553" w14:textId="77777777" w:rsidR="00806E92" w:rsidRPr="0060250D" w:rsidRDefault="00806E92" w:rsidP="00D13780">
            <w:pPr>
              <w:spacing w:after="0" w:line="240" w:lineRule="auto"/>
              <w:rPr>
                <w:rFonts w:cstheme="minorHAnsi"/>
              </w:rPr>
            </w:pPr>
            <w:r>
              <w:rPr>
                <w:rFonts w:cstheme="minorHAnsi"/>
                <w:b/>
              </w:rPr>
              <w:lastRenderedPageBreak/>
              <w:t xml:space="preserve">Records </w:t>
            </w:r>
            <w:r w:rsidR="00D13780">
              <w:rPr>
                <w:rFonts w:cstheme="minorHAnsi"/>
                <w:b/>
              </w:rPr>
              <w:t>any office creates and holds</w:t>
            </w:r>
          </w:p>
        </w:tc>
      </w:tr>
      <w:tr w:rsidR="00806E92" w:rsidRPr="0060250D" w14:paraId="476C3BF4" w14:textId="77777777" w:rsidTr="00806E92">
        <w:trPr>
          <w:trHeight w:val="720"/>
        </w:trPr>
        <w:tc>
          <w:tcPr>
            <w:tcW w:w="655" w:type="dxa"/>
          </w:tcPr>
          <w:p w14:paraId="21B00102" w14:textId="77777777" w:rsidR="00806E92" w:rsidRPr="0060250D" w:rsidRDefault="00806E92" w:rsidP="002F518F">
            <w:pPr>
              <w:spacing w:after="0" w:line="240" w:lineRule="auto"/>
              <w:jc w:val="center"/>
            </w:pPr>
            <w:r w:rsidRPr="0060250D">
              <w:t>0</w:t>
            </w:r>
            <w:r w:rsidR="002F518F">
              <w:t>4</w:t>
            </w:r>
            <w:r w:rsidRPr="0060250D">
              <w:t>0</w:t>
            </w:r>
          </w:p>
        </w:tc>
        <w:tc>
          <w:tcPr>
            <w:tcW w:w="5072" w:type="dxa"/>
            <w:vMerge w:val="restart"/>
          </w:tcPr>
          <w:p w14:paraId="78237D58" w14:textId="77777777" w:rsidR="00806E92" w:rsidRPr="0060250D" w:rsidRDefault="00806E92" w:rsidP="002F518F">
            <w:pPr>
              <w:spacing w:after="0" w:line="240" w:lineRule="auto"/>
              <w:rPr>
                <w:rFonts w:cstheme="minorHAnsi"/>
              </w:rPr>
            </w:pPr>
            <w:r w:rsidRPr="0060250D">
              <w:rPr>
                <w:rFonts w:asciiTheme="minorHAnsi" w:hAnsiTheme="minorHAnsi" w:cs="TimesNewRomanPSMT"/>
                <w:b/>
                <w:color w:val="000000"/>
              </w:rPr>
              <w:t xml:space="preserve">Budget </w:t>
            </w:r>
            <w:r w:rsidR="00AC1799">
              <w:rPr>
                <w:rFonts w:asciiTheme="minorHAnsi" w:hAnsiTheme="minorHAnsi" w:cs="TimesNewRomanPSMT"/>
                <w:b/>
                <w:color w:val="000000"/>
              </w:rPr>
              <w:t xml:space="preserve">preparation </w:t>
            </w:r>
            <w:r w:rsidRPr="0060250D">
              <w:rPr>
                <w:rFonts w:asciiTheme="minorHAnsi" w:hAnsiTheme="minorHAnsi" w:cs="TimesNewRomanPSMT"/>
                <w:b/>
                <w:color w:val="000000"/>
              </w:rPr>
              <w:t>background records</w:t>
            </w:r>
            <w:r w:rsidRPr="0060250D">
              <w:rPr>
                <w:rFonts w:asciiTheme="minorHAnsi" w:hAnsiTheme="minorHAnsi" w:cstheme="minorHAnsi"/>
              </w:rPr>
              <w:t>.</w:t>
            </w:r>
          </w:p>
          <w:p w14:paraId="048C8E16" w14:textId="77777777" w:rsidR="00806E92" w:rsidRPr="0060250D" w:rsidRDefault="00806E92" w:rsidP="003511FD">
            <w:pPr>
              <w:spacing w:after="0" w:line="240" w:lineRule="auto"/>
              <w:ind w:left="342"/>
            </w:pPr>
            <w:r w:rsidRPr="0060250D">
              <w:t xml:space="preserve">Preliminary </w:t>
            </w:r>
            <w:r>
              <w:t xml:space="preserve">budget </w:t>
            </w:r>
            <w:r w:rsidRPr="0060250D">
              <w:t>estimates</w:t>
            </w:r>
            <w:r>
              <w:t>,</w:t>
            </w:r>
            <w:r w:rsidRPr="0060250D">
              <w:t xml:space="preserve"> justifications, cost statements, narrative statements</w:t>
            </w:r>
            <w:r>
              <w:t>,</w:t>
            </w:r>
            <w:r w:rsidRPr="0060250D">
              <w:t xml:space="preserve"> rough data</w:t>
            </w:r>
            <w:r>
              <w:t>,</w:t>
            </w:r>
            <w:r w:rsidRPr="0060250D">
              <w:t xml:space="preserve"> and similar materials</w:t>
            </w:r>
            <w:r>
              <w:t xml:space="preserve"> from internal agency components (individual </w:t>
            </w:r>
            <w:r w:rsidRPr="0060250D">
              <w:t>office</w:t>
            </w:r>
            <w:r>
              <w:t>s,</w:t>
            </w:r>
            <w:r w:rsidRPr="0060250D">
              <w:t xml:space="preserve"> division</w:t>
            </w:r>
            <w:r>
              <w:t>s, programs, etc.)</w:t>
            </w:r>
            <w:r w:rsidRPr="0060250D">
              <w:t xml:space="preserve"> </w:t>
            </w:r>
            <w:r>
              <w:t xml:space="preserve">for use </w:t>
            </w:r>
            <w:r w:rsidRPr="0060250D">
              <w:t xml:space="preserve">in </w:t>
            </w:r>
            <w:r w:rsidR="003511FD">
              <w:t xml:space="preserve">preparing </w:t>
            </w:r>
            <w:r w:rsidRPr="0060250D">
              <w:t>annual</w:t>
            </w:r>
            <w:r w:rsidR="003511FD">
              <w:t>,</w:t>
            </w:r>
            <w:r w:rsidRPr="0060250D">
              <w:t xml:space="preserve"> </w:t>
            </w:r>
            <w:r>
              <w:t xml:space="preserve">agency-wide </w:t>
            </w:r>
            <w:r w:rsidRPr="0060250D">
              <w:t xml:space="preserve">budget </w:t>
            </w:r>
            <w:r>
              <w:t>requests.</w:t>
            </w:r>
          </w:p>
        </w:tc>
        <w:tc>
          <w:tcPr>
            <w:tcW w:w="5073" w:type="dxa"/>
            <w:gridSpan w:val="2"/>
          </w:tcPr>
          <w:p w14:paraId="1F3391E0" w14:textId="77777777" w:rsidR="00806E92" w:rsidRPr="00806E92" w:rsidRDefault="00806E92" w:rsidP="00806E92">
            <w:pPr>
              <w:tabs>
                <w:tab w:val="left" w:pos="612"/>
              </w:tabs>
              <w:spacing w:after="0" w:line="240" w:lineRule="auto"/>
              <w:ind w:left="8"/>
              <w:rPr>
                <w:rFonts w:cstheme="minorHAnsi"/>
              </w:rPr>
            </w:pPr>
            <w:r w:rsidRPr="00806E92">
              <w:rPr>
                <w:rFonts w:cstheme="minorHAnsi"/>
              </w:rPr>
              <w:t xml:space="preserve">Records held </w:t>
            </w:r>
            <w:r w:rsidR="00962261" w:rsidRPr="005D4CEB">
              <w:rPr>
                <w:rFonts w:asciiTheme="minorHAnsi" w:hAnsiTheme="minorHAnsi"/>
              </w:rPr>
              <w:t xml:space="preserve">in office </w:t>
            </w:r>
            <w:r w:rsidR="00962261">
              <w:rPr>
                <w:rFonts w:asciiTheme="minorHAnsi" w:hAnsiTheme="minorHAnsi"/>
              </w:rPr>
              <w:t>responsible for preparing</w:t>
            </w:r>
            <w:r w:rsidR="00962261" w:rsidRPr="005D4CEB">
              <w:rPr>
                <w:rFonts w:asciiTheme="minorHAnsi" w:hAnsiTheme="minorHAnsi"/>
              </w:rPr>
              <w:t xml:space="preserve"> agency’s budget proposal to the White House</w:t>
            </w:r>
            <w:r w:rsidRPr="00806E92">
              <w:rPr>
                <w:rFonts w:cstheme="minorHAnsi"/>
              </w:rPr>
              <w:t>.</w:t>
            </w:r>
          </w:p>
          <w:p w14:paraId="186FF47A" w14:textId="77777777" w:rsidR="00806E92" w:rsidRPr="0060250D" w:rsidRDefault="00806E92" w:rsidP="00806E92">
            <w:pPr>
              <w:tabs>
                <w:tab w:val="left" w:pos="612"/>
              </w:tabs>
              <w:spacing w:after="0" w:line="240" w:lineRule="auto"/>
              <w:ind w:left="8"/>
              <w:rPr>
                <w:rFonts w:cstheme="minorHAnsi"/>
              </w:rPr>
            </w:pPr>
          </w:p>
        </w:tc>
        <w:tc>
          <w:tcPr>
            <w:tcW w:w="2430" w:type="dxa"/>
          </w:tcPr>
          <w:p w14:paraId="5AD17A85" w14:textId="77777777" w:rsidR="00806E92" w:rsidRDefault="00806E92" w:rsidP="005111D3">
            <w:pPr>
              <w:spacing w:after="0" w:line="240" w:lineRule="auto"/>
            </w:pPr>
            <w:r w:rsidRPr="0060250D">
              <w:rPr>
                <w:b/>
              </w:rPr>
              <w:t>Temporary</w:t>
            </w:r>
            <w:r w:rsidRPr="0060250D">
              <w:t xml:space="preserve">.  Destroy 2 years after </w:t>
            </w:r>
            <w:r w:rsidR="003C2062" w:rsidRPr="005111D3">
              <w:t>close of the fiscal year to which the records relate</w:t>
            </w:r>
            <w:r w:rsidRPr="005111D3">
              <w:t>, b</w:t>
            </w:r>
            <w:r w:rsidRPr="0060250D">
              <w:t>ut longer retention is authorized if required for business use.</w:t>
            </w:r>
          </w:p>
          <w:p w14:paraId="1A02A558" w14:textId="50C4EAB8" w:rsidR="005111D3" w:rsidRPr="0060250D" w:rsidRDefault="005111D3" w:rsidP="005111D3">
            <w:pPr>
              <w:spacing w:after="0" w:line="240" w:lineRule="auto"/>
              <w:rPr>
                <w:rFonts w:cstheme="minorHAnsi"/>
              </w:rPr>
            </w:pPr>
          </w:p>
        </w:tc>
        <w:tc>
          <w:tcPr>
            <w:tcW w:w="1292" w:type="dxa"/>
          </w:tcPr>
          <w:p w14:paraId="728DDD35" w14:textId="77777777" w:rsidR="00806E92" w:rsidRPr="0060250D" w:rsidRDefault="00806E92" w:rsidP="00F84E32">
            <w:pPr>
              <w:spacing w:after="0" w:line="240" w:lineRule="auto"/>
              <w:rPr>
                <w:rFonts w:cstheme="minorHAnsi"/>
              </w:rPr>
            </w:pPr>
            <w:r w:rsidRPr="0060250D">
              <w:rPr>
                <w:rFonts w:cstheme="minorHAnsi"/>
              </w:rPr>
              <w:t>DAA-GRS-2015-000</w:t>
            </w:r>
            <w:r w:rsidR="00F84E32">
              <w:rPr>
                <w:rFonts w:cstheme="minorHAnsi"/>
              </w:rPr>
              <w:t>6</w:t>
            </w:r>
            <w:r w:rsidRPr="0060250D">
              <w:rPr>
                <w:rFonts w:cstheme="minorHAnsi"/>
              </w:rPr>
              <w:t>-000</w:t>
            </w:r>
            <w:r w:rsidR="006C0AE2">
              <w:rPr>
                <w:rFonts w:cstheme="minorHAnsi"/>
              </w:rPr>
              <w:t>5</w:t>
            </w:r>
          </w:p>
        </w:tc>
      </w:tr>
      <w:tr w:rsidR="00806E92" w:rsidRPr="0060250D" w14:paraId="6BA9569E" w14:textId="77777777" w:rsidTr="002F518F">
        <w:trPr>
          <w:trHeight w:val="720"/>
        </w:trPr>
        <w:tc>
          <w:tcPr>
            <w:tcW w:w="655" w:type="dxa"/>
          </w:tcPr>
          <w:p w14:paraId="1E44E9AB" w14:textId="77777777" w:rsidR="00806E92" w:rsidRPr="0060250D" w:rsidRDefault="000A67D3" w:rsidP="002F518F">
            <w:pPr>
              <w:spacing w:after="0" w:line="240" w:lineRule="auto"/>
              <w:jc w:val="center"/>
            </w:pPr>
            <w:r>
              <w:t>0</w:t>
            </w:r>
            <w:r w:rsidR="002F518F">
              <w:t>4</w:t>
            </w:r>
            <w:r>
              <w:t>1</w:t>
            </w:r>
          </w:p>
        </w:tc>
        <w:tc>
          <w:tcPr>
            <w:tcW w:w="5072" w:type="dxa"/>
            <w:vMerge/>
          </w:tcPr>
          <w:p w14:paraId="54C4F96C" w14:textId="77777777" w:rsidR="00806E92" w:rsidRPr="0060250D" w:rsidRDefault="00806E92" w:rsidP="002F518F">
            <w:pPr>
              <w:spacing w:after="0" w:line="240" w:lineRule="auto"/>
              <w:rPr>
                <w:rFonts w:asciiTheme="minorHAnsi" w:hAnsiTheme="minorHAnsi" w:cs="TimesNewRomanPSMT"/>
                <w:b/>
                <w:color w:val="000000"/>
              </w:rPr>
            </w:pPr>
          </w:p>
        </w:tc>
        <w:tc>
          <w:tcPr>
            <w:tcW w:w="5073" w:type="dxa"/>
            <w:gridSpan w:val="2"/>
          </w:tcPr>
          <w:p w14:paraId="23A175D5" w14:textId="77777777" w:rsidR="00806E92" w:rsidRDefault="002F518F" w:rsidP="00806E92">
            <w:pPr>
              <w:tabs>
                <w:tab w:val="left" w:pos="612"/>
              </w:tabs>
              <w:spacing w:after="0" w:line="240" w:lineRule="auto"/>
              <w:ind w:left="8"/>
              <w:rPr>
                <w:rFonts w:cstheme="minorHAnsi"/>
              </w:rPr>
            </w:pPr>
            <w:r>
              <w:rPr>
                <w:rFonts w:cstheme="minorHAnsi"/>
              </w:rPr>
              <w:t>Records held at all other</w:t>
            </w:r>
            <w:r w:rsidR="00806E92" w:rsidRPr="00806E92">
              <w:rPr>
                <w:rFonts w:cstheme="minorHAnsi"/>
              </w:rPr>
              <w:t xml:space="preserve"> office</w:t>
            </w:r>
            <w:r>
              <w:rPr>
                <w:rFonts w:cstheme="minorHAnsi"/>
              </w:rPr>
              <w:t>s</w:t>
            </w:r>
            <w:r w:rsidR="00806E92" w:rsidRPr="00806E92">
              <w:rPr>
                <w:rFonts w:cstheme="minorHAnsi"/>
              </w:rPr>
              <w:t>.</w:t>
            </w:r>
          </w:p>
          <w:p w14:paraId="04323ECE" w14:textId="77777777" w:rsidR="000A67D3" w:rsidRPr="0060250D" w:rsidRDefault="000A67D3" w:rsidP="00806E92">
            <w:pPr>
              <w:tabs>
                <w:tab w:val="left" w:pos="612"/>
              </w:tabs>
              <w:spacing w:after="0" w:line="240" w:lineRule="auto"/>
              <w:ind w:left="8"/>
              <w:rPr>
                <w:rFonts w:cstheme="minorHAnsi"/>
                <w:b/>
              </w:rPr>
            </w:pPr>
          </w:p>
        </w:tc>
        <w:tc>
          <w:tcPr>
            <w:tcW w:w="2430" w:type="dxa"/>
          </w:tcPr>
          <w:p w14:paraId="31562998" w14:textId="77777777" w:rsidR="00806E92" w:rsidRDefault="000A67D3" w:rsidP="003511FD">
            <w:pPr>
              <w:spacing w:after="0" w:line="240" w:lineRule="auto"/>
            </w:pPr>
            <w:r w:rsidRPr="0060250D">
              <w:rPr>
                <w:b/>
              </w:rPr>
              <w:t>Temporary</w:t>
            </w:r>
            <w:r w:rsidRPr="0060250D">
              <w:t xml:space="preserve">.  Destroy when </w:t>
            </w:r>
            <w:r>
              <w:t>2</w:t>
            </w:r>
            <w:r w:rsidRPr="0060250D">
              <w:t xml:space="preserve"> years old, but longer retention is authorized if required for business use.</w:t>
            </w:r>
          </w:p>
          <w:p w14:paraId="16A010D2" w14:textId="77777777" w:rsidR="005111D3" w:rsidRPr="0060250D" w:rsidRDefault="005111D3" w:rsidP="003511FD">
            <w:pPr>
              <w:spacing w:after="0" w:line="240" w:lineRule="auto"/>
              <w:rPr>
                <w:b/>
              </w:rPr>
            </w:pPr>
          </w:p>
        </w:tc>
        <w:tc>
          <w:tcPr>
            <w:tcW w:w="1292" w:type="dxa"/>
          </w:tcPr>
          <w:p w14:paraId="15B213AB" w14:textId="77777777" w:rsidR="00806E92" w:rsidRPr="0060250D" w:rsidRDefault="000A67D3" w:rsidP="00F84E32">
            <w:pPr>
              <w:spacing w:after="0" w:line="240" w:lineRule="auto"/>
              <w:rPr>
                <w:rFonts w:cstheme="minorHAnsi"/>
              </w:rPr>
            </w:pPr>
            <w:r w:rsidRPr="0060250D">
              <w:rPr>
                <w:rFonts w:cstheme="minorHAnsi"/>
              </w:rPr>
              <w:t>DAA-GRS-2015-000</w:t>
            </w:r>
            <w:r w:rsidR="00F84E32">
              <w:rPr>
                <w:rFonts w:cstheme="minorHAnsi"/>
              </w:rPr>
              <w:t>6</w:t>
            </w:r>
            <w:r w:rsidRPr="0060250D">
              <w:rPr>
                <w:rFonts w:cstheme="minorHAnsi"/>
              </w:rPr>
              <w:t>-000</w:t>
            </w:r>
            <w:r w:rsidR="006C0AE2">
              <w:rPr>
                <w:rFonts w:cstheme="minorHAnsi"/>
              </w:rPr>
              <w:t>6</w:t>
            </w:r>
          </w:p>
        </w:tc>
      </w:tr>
      <w:tr w:rsidR="00581F21" w:rsidRPr="0060250D" w14:paraId="1A3D36F2" w14:textId="77777777" w:rsidTr="0022568E">
        <w:trPr>
          <w:trHeight w:val="892"/>
        </w:trPr>
        <w:tc>
          <w:tcPr>
            <w:tcW w:w="655" w:type="dxa"/>
          </w:tcPr>
          <w:p w14:paraId="5A6CE0E2" w14:textId="77777777" w:rsidR="00581F21" w:rsidRPr="00D44432" w:rsidRDefault="00581F21" w:rsidP="002F518F">
            <w:pPr>
              <w:spacing w:after="0" w:line="240" w:lineRule="auto"/>
            </w:pPr>
            <w:r>
              <w:t>0</w:t>
            </w:r>
            <w:r w:rsidR="002F518F">
              <w:t>5</w:t>
            </w:r>
            <w:r>
              <w:t>0</w:t>
            </w:r>
          </w:p>
          <w:p w14:paraId="1DFC371D" w14:textId="77777777" w:rsidR="00581F21" w:rsidRPr="00D44432" w:rsidRDefault="00581F21" w:rsidP="002F518F">
            <w:pPr>
              <w:spacing w:after="0" w:line="240" w:lineRule="auto"/>
              <w:jc w:val="center"/>
              <w:rPr>
                <w:b/>
              </w:rPr>
            </w:pPr>
          </w:p>
        </w:tc>
        <w:tc>
          <w:tcPr>
            <w:tcW w:w="10145" w:type="dxa"/>
            <w:gridSpan w:val="3"/>
          </w:tcPr>
          <w:p w14:paraId="6FDB146C" w14:textId="77777777" w:rsidR="00581F21" w:rsidRPr="00746E46" w:rsidRDefault="00581F21" w:rsidP="002F518F">
            <w:pPr>
              <w:spacing w:after="0" w:line="240" w:lineRule="auto"/>
            </w:pPr>
            <w:r w:rsidRPr="00746E46">
              <w:rPr>
                <w:b/>
              </w:rPr>
              <w:t xml:space="preserve">Budget </w:t>
            </w:r>
            <w:r w:rsidR="00AC1799" w:rsidRPr="00746E46">
              <w:rPr>
                <w:b/>
              </w:rPr>
              <w:t>administration</w:t>
            </w:r>
            <w:r w:rsidRPr="00746E46">
              <w:rPr>
                <w:b/>
              </w:rPr>
              <w:t xml:space="preserve"> records</w:t>
            </w:r>
            <w:r w:rsidRPr="00746E46">
              <w:t>.</w:t>
            </w:r>
          </w:p>
          <w:p w14:paraId="42AB589D" w14:textId="77777777" w:rsidR="00110165" w:rsidRPr="00CC5A31" w:rsidRDefault="00110165" w:rsidP="00110165">
            <w:pPr>
              <w:spacing w:after="0" w:line="240" w:lineRule="auto"/>
              <w:ind w:left="328"/>
              <w:rPr>
                <w:rFonts w:asciiTheme="minorHAnsi" w:hAnsiTheme="minorHAnsi"/>
              </w:rPr>
            </w:pPr>
            <w:r w:rsidRPr="00CC5A31">
              <w:rPr>
                <w:rFonts w:asciiTheme="minorHAnsi" w:hAnsiTheme="minorHAnsi"/>
              </w:rPr>
              <w:t xml:space="preserve">Records documenting administration of budget office responsibilities.  Includes: </w:t>
            </w:r>
          </w:p>
          <w:p w14:paraId="42734FBC" w14:textId="77777777" w:rsidR="00110165" w:rsidRDefault="00110165" w:rsidP="00110165">
            <w:pPr>
              <w:pStyle w:val="ListParagraph"/>
              <w:numPr>
                <w:ilvl w:val="0"/>
                <w:numId w:val="22"/>
              </w:numPr>
              <w:spacing w:after="0" w:line="240" w:lineRule="auto"/>
              <w:ind w:left="580" w:hanging="270"/>
              <w:rPr>
                <w:rFonts w:asciiTheme="minorHAnsi" w:hAnsiTheme="minorHAnsi"/>
              </w:rPr>
            </w:pPr>
            <w:r>
              <w:rPr>
                <w:rFonts w:asciiTheme="minorHAnsi" w:hAnsiTheme="minorHAnsi"/>
              </w:rPr>
              <w:t>correspondence relating to routine administration, internal procedures, and other day-to-day matters</w:t>
            </w:r>
          </w:p>
          <w:p w14:paraId="5CC6AAD3" w14:textId="77777777" w:rsidR="00110165" w:rsidRPr="00CC5A31" w:rsidRDefault="00110165" w:rsidP="00110165">
            <w:pPr>
              <w:pStyle w:val="ListParagraph"/>
              <w:numPr>
                <w:ilvl w:val="0"/>
                <w:numId w:val="22"/>
              </w:numPr>
              <w:spacing w:after="0" w:line="240" w:lineRule="auto"/>
              <w:ind w:left="580" w:hanging="270"/>
              <w:rPr>
                <w:rFonts w:asciiTheme="minorHAnsi" w:hAnsiTheme="minorHAnsi"/>
              </w:rPr>
            </w:pPr>
            <w:r w:rsidRPr="00CC5A31">
              <w:rPr>
                <w:rFonts w:asciiTheme="minorHAnsi" w:hAnsiTheme="minorHAnsi"/>
              </w:rPr>
              <w:t>records monitoring expenditures under approved budget allocations</w:t>
            </w:r>
          </w:p>
          <w:p w14:paraId="4C943E16" w14:textId="77777777" w:rsidR="00110165" w:rsidRPr="00CC5A31" w:rsidRDefault="00110165" w:rsidP="00110165">
            <w:pPr>
              <w:pStyle w:val="ListParagraph"/>
              <w:numPr>
                <w:ilvl w:val="0"/>
                <w:numId w:val="22"/>
              </w:numPr>
              <w:spacing w:after="0" w:line="240" w:lineRule="auto"/>
              <w:ind w:left="580" w:hanging="270"/>
              <w:rPr>
                <w:rFonts w:asciiTheme="minorHAnsi" w:hAnsiTheme="minorHAnsi"/>
              </w:rPr>
            </w:pPr>
            <w:r w:rsidRPr="00CC5A31">
              <w:rPr>
                <w:rFonts w:asciiTheme="minorHAnsi" w:hAnsiTheme="minorHAnsi" w:cstheme="minorHAnsi"/>
              </w:rPr>
              <w:t>records of financial controls maintenance</w:t>
            </w:r>
          </w:p>
          <w:p w14:paraId="6E1EBF3C" w14:textId="77777777" w:rsidR="00110165" w:rsidRPr="00CC5A31" w:rsidRDefault="00110165" w:rsidP="00110165">
            <w:pPr>
              <w:pStyle w:val="ListParagraph"/>
              <w:numPr>
                <w:ilvl w:val="0"/>
                <w:numId w:val="22"/>
              </w:numPr>
              <w:spacing w:after="0" w:line="240" w:lineRule="auto"/>
              <w:ind w:left="580" w:hanging="270"/>
              <w:rPr>
                <w:rFonts w:asciiTheme="minorHAnsi" w:hAnsiTheme="minorHAnsi"/>
              </w:rPr>
            </w:pPr>
            <w:r w:rsidRPr="00CC5A31">
              <w:rPr>
                <w:rFonts w:asciiTheme="minorHAnsi" w:hAnsiTheme="minorHAnsi"/>
              </w:rPr>
              <w:t>spreadsheets and databases tracking income, expenditures, and trends</w:t>
            </w:r>
          </w:p>
          <w:p w14:paraId="2C9B5A8F" w14:textId="77777777" w:rsidR="00110165" w:rsidRPr="00CC5A31" w:rsidRDefault="00110165" w:rsidP="00110165">
            <w:pPr>
              <w:pStyle w:val="ListParagraph"/>
              <w:numPr>
                <w:ilvl w:val="0"/>
                <w:numId w:val="22"/>
              </w:numPr>
              <w:spacing w:after="0" w:line="240" w:lineRule="auto"/>
              <w:ind w:left="580" w:hanging="270"/>
              <w:rPr>
                <w:rFonts w:asciiTheme="minorHAnsi" w:hAnsiTheme="minorHAnsi"/>
              </w:rPr>
            </w:pPr>
            <w:r w:rsidRPr="00CC5A31">
              <w:rPr>
                <w:rFonts w:asciiTheme="minorHAnsi" w:hAnsiTheme="minorHAnsi"/>
              </w:rPr>
              <w:t>work planning documentation</w:t>
            </w:r>
          </w:p>
          <w:p w14:paraId="5EEDD9DE" w14:textId="77777777" w:rsidR="00110165" w:rsidRPr="00CC5A31" w:rsidRDefault="00110165" w:rsidP="00110165">
            <w:pPr>
              <w:pStyle w:val="ListParagraph"/>
              <w:numPr>
                <w:ilvl w:val="0"/>
                <w:numId w:val="22"/>
              </w:numPr>
              <w:spacing w:after="0" w:line="240" w:lineRule="auto"/>
              <w:ind w:left="580" w:hanging="270"/>
              <w:rPr>
                <w:rFonts w:asciiTheme="minorHAnsi" w:hAnsiTheme="minorHAnsi"/>
              </w:rPr>
            </w:pPr>
            <w:r w:rsidRPr="00CC5A31">
              <w:rPr>
                <w:rFonts w:asciiTheme="minorHAnsi" w:hAnsiTheme="minorHAnsi"/>
              </w:rPr>
              <w:t>cost structure and accounting code lists</w:t>
            </w:r>
          </w:p>
          <w:p w14:paraId="65CC0325" w14:textId="77777777" w:rsidR="00110165" w:rsidRPr="00CC5A31" w:rsidRDefault="00110165" w:rsidP="00110165">
            <w:pPr>
              <w:pStyle w:val="ListParagraph"/>
              <w:numPr>
                <w:ilvl w:val="0"/>
                <w:numId w:val="22"/>
              </w:numPr>
              <w:spacing w:after="0" w:line="240" w:lineRule="auto"/>
              <w:ind w:left="580" w:hanging="270"/>
              <w:rPr>
                <w:rFonts w:asciiTheme="minorHAnsi" w:hAnsiTheme="minorHAnsi"/>
              </w:rPr>
            </w:pPr>
            <w:r w:rsidRPr="00CC5A31">
              <w:rPr>
                <w:rFonts w:asciiTheme="minorHAnsi" w:hAnsiTheme="minorHAnsi"/>
              </w:rPr>
              <w:t>feeder and statistical reports</w:t>
            </w:r>
          </w:p>
          <w:p w14:paraId="5EA1990D" w14:textId="77777777" w:rsidR="00581F21" w:rsidRPr="00110165" w:rsidRDefault="00110165" w:rsidP="00110165">
            <w:pPr>
              <w:pStyle w:val="ListParagraph"/>
              <w:numPr>
                <w:ilvl w:val="0"/>
                <w:numId w:val="22"/>
              </w:numPr>
              <w:spacing w:after="0" w:line="240" w:lineRule="auto"/>
              <w:ind w:left="580" w:hanging="270"/>
              <w:rPr>
                <w:rFonts w:asciiTheme="minorHAnsi" w:hAnsiTheme="minorHAnsi"/>
              </w:rPr>
            </w:pPr>
            <w:r w:rsidRPr="00CC5A31">
              <w:rPr>
                <w:rFonts w:asciiTheme="minorHAnsi" w:hAnsiTheme="minorHAnsi"/>
              </w:rPr>
              <w:t>related correspondence</w:t>
            </w:r>
          </w:p>
        </w:tc>
        <w:tc>
          <w:tcPr>
            <w:tcW w:w="2430" w:type="dxa"/>
          </w:tcPr>
          <w:p w14:paraId="7879762A" w14:textId="77777777" w:rsidR="00581F21" w:rsidRPr="0060250D" w:rsidRDefault="00581F21" w:rsidP="003511FD">
            <w:pPr>
              <w:spacing w:after="0" w:line="240" w:lineRule="auto"/>
              <w:rPr>
                <w:b/>
              </w:rPr>
            </w:pPr>
            <w:r w:rsidRPr="0060250D">
              <w:rPr>
                <w:b/>
              </w:rPr>
              <w:t>Temporary</w:t>
            </w:r>
            <w:r w:rsidRPr="0060250D">
              <w:t xml:space="preserve">.  Destroy when </w:t>
            </w:r>
            <w:r>
              <w:t>3</w:t>
            </w:r>
            <w:r w:rsidRPr="0060250D">
              <w:t xml:space="preserve"> years old</w:t>
            </w:r>
            <w:r>
              <w:t xml:space="preserve">, </w:t>
            </w:r>
            <w:r w:rsidRPr="0060250D">
              <w:t>but longer retention is authorized if required for business use.</w:t>
            </w:r>
          </w:p>
        </w:tc>
        <w:tc>
          <w:tcPr>
            <w:tcW w:w="1292" w:type="dxa"/>
          </w:tcPr>
          <w:p w14:paraId="66B71F6B" w14:textId="77777777" w:rsidR="00581F21" w:rsidRPr="0060250D" w:rsidRDefault="00581F21" w:rsidP="00F84E32">
            <w:pPr>
              <w:spacing w:after="0" w:line="240" w:lineRule="auto"/>
              <w:rPr>
                <w:rFonts w:cstheme="minorHAnsi"/>
              </w:rPr>
            </w:pPr>
            <w:r w:rsidRPr="0060250D">
              <w:rPr>
                <w:rFonts w:cstheme="minorHAnsi"/>
              </w:rPr>
              <w:t>DAA-GRS-2015-000</w:t>
            </w:r>
            <w:r w:rsidR="00F84E32">
              <w:rPr>
                <w:rFonts w:cstheme="minorHAnsi"/>
              </w:rPr>
              <w:t>6</w:t>
            </w:r>
            <w:r w:rsidRPr="0060250D">
              <w:rPr>
                <w:rFonts w:cstheme="minorHAnsi"/>
              </w:rPr>
              <w:t>-000</w:t>
            </w:r>
            <w:r w:rsidR="006C0AE2">
              <w:rPr>
                <w:rFonts w:cstheme="minorHAnsi"/>
              </w:rPr>
              <w:t>7</w:t>
            </w:r>
          </w:p>
        </w:tc>
      </w:tr>
    </w:tbl>
    <w:p w14:paraId="3971AB0B" w14:textId="77777777" w:rsidR="000A65DE" w:rsidRPr="00D10F5F" w:rsidRDefault="000A65DE" w:rsidP="0080238B">
      <w:pPr>
        <w:rPr>
          <w:b/>
          <w:sz w:val="20"/>
          <w:szCs w:val="20"/>
        </w:rPr>
      </w:pPr>
    </w:p>
    <w:sectPr w:rsidR="000A65DE" w:rsidRPr="00D10F5F" w:rsidSect="000D7B6D">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432"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A16EB" w14:textId="77777777" w:rsidR="00C14E3B" w:rsidRDefault="00C14E3B" w:rsidP="008F3172">
      <w:pPr>
        <w:spacing w:after="0" w:line="240" w:lineRule="auto"/>
      </w:pPr>
      <w:r>
        <w:separator/>
      </w:r>
    </w:p>
  </w:endnote>
  <w:endnote w:type="continuationSeparator" w:id="0">
    <w:p w14:paraId="0B1BEE49" w14:textId="77777777" w:rsidR="00C14E3B" w:rsidRDefault="00C14E3B" w:rsidP="008F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31AA" w14:textId="77777777" w:rsidR="008A1EFA" w:rsidRDefault="008A1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91ED" w14:textId="77777777" w:rsidR="008F6CAB" w:rsidRDefault="008F6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1372" w14:textId="77777777" w:rsidR="008A1EFA" w:rsidRDefault="008A1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53E7D" w14:textId="77777777" w:rsidR="00C14E3B" w:rsidRDefault="00C14E3B" w:rsidP="008F3172">
      <w:pPr>
        <w:spacing w:after="0" w:line="240" w:lineRule="auto"/>
      </w:pPr>
      <w:r>
        <w:separator/>
      </w:r>
    </w:p>
  </w:footnote>
  <w:footnote w:type="continuationSeparator" w:id="0">
    <w:p w14:paraId="36052582" w14:textId="77777777" w:rsidR="00C14E3B" w:rsidRDefault="00C14E3B" w:rsidP="008F3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DB8A" w14:textId="77777777" w:rsidR="008A1EFA" w:rsidRDefault="008A1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429A" w14:textId="49A22247" w:rsidR="006D612F" w:rsidRPr="00A31178" w:rsidRDefault="008A1EFA" w:rsidP="006D612F">
    <w:pPr>
      <w:pStyle w:val="Header"/>
      <w:tabs>
        <w:tab w:val="clear" w:pos="9360"/>
        <w:tab w:val="right" w:pos="14400"/>
      </w:tabs>
      <w:rPr>
        <w:b/>
        <w:bCs/>
        <w:sz w:val="20"/>
        <w:szCs w:val="20"/>
      </w:rPr>
    </w:pPr>
    <w:r>
      <w:rPr>
        <w:b/>
        <w:bCs/>
        <w:sz w:val="20"/>
        <w:szCs w:val="20"/>
      </w:rPr>
      <w:t xml:space="preserve">Last updated in </w:t>
    </w:r>
    <w:r w:rsidR="006D612F" w:rsidRPr="00A31178">
      <w:rPr>
        <w:b/>
        <w:bCs/>
        <w:sz w:val="20"/>
        <w:szCs w:val="20"/>
      </w:rPr>
      <w:t xml:space="preserve">Transmittal No. </w:t>
    </w:r>
    <w:r w:rsidR="009E4484">
      <w:rPr>
        <w:b/>
        <w:bCs/>
        <w:sz w:val="20"/>
        <w:szCs w:val="20"/>
      </w:rPr>
      <w:t>30</w:t>
    </w:r>
    <w:r w:rsidR="006D612F" w:rsidRPr="00A31178">
      <w:rPr>
        <w:b/>
        <w:bCs/>
        <w:sz w:val="20"/>
        <w:szCs w:val="20"/>
      </w:rPr>
      <w:tab/>
    </w:r>
    <w:r w:rsidR="006D612F" w:rsidRPr="00A31178">
      <w:rPr>
        <w:b/>
        <w:bCs/>
        <w:sz w:val="20"/>
        <w:szCs w:val="20"/>
      </w:rPr>
      <w:tab/>
      <w:t>General Records Schedule</w:t>
    </w:r>
    <w:r w:rsidR="006D612F">
      <w:rPr>
        <w:b/>
        <w:bCs/>
        <w:sz w:val="20"/>
        <w:szCs w:val="20"/>
      </w:rPr>
      <w:t xml:space="preserve"> 1.3</w:t>
    </w:r>
  </w:p>
  <w:p w14:paraId="735DEEFA" w14:textId="4C6335F6" w:rsidR="006D612F" w:rsidRDefault="008A1EFA" w:rsidP="006D612F">
    <w:pPr>
      <w:pStyle w:val="Header"/>
    </w:pPr>
    <w:r>
      <w:rPr>
        <w:b/>
        <w:bCs/>
        <w:sz w:val="20"/>
        <w:szCs w:val="20"/>
      </w:rPr>
      <w:t>Dec</w:t>
    </w:r>
    <w:r w:rsidR="006D612F">
      <w:rPr>
        <w:b/>
        <w:bCs/>
        <w:sz w:val="20"/>
        <w:szCs w:val="20"/>
      </w:rPr>
      <w:t>ember</w:t>
    </w:r>
    <w:r w:rsidR="006D612F" w:rsidRPr="00B43268">
      <w:rPr>
        <w:b/>
        <w:bCs/>
        <w:sz w:val="20"/>
        <w:szCs w:val="20"/>
      </w:rPr>
      <w:t xml:space="preserve"> </w:t>
    </w:r>
    <w:r w:rsidR="009E4484">
      <w:rPr>
        <w:b/>
        <w:bCs/>
        <w:sz w:val="20"/>
        <w:szCs w:val="20"/>
      </w:rPr>
      <w:t>2019</w:t>
    </w:r>
  </w:p>
  <w:p w14:paraId="49C52AD9" w14:textId="6E60DCD8" w:rsidR="009B5CDD" w:rsidRDefault="009B5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74F4" w14:textId="77777777" w:rsidR="008A1EFA" w:rsidRDefault="008A1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E01"/>
    <w:multiLevelType w:val="hybridMultilevel"/>
    <w:tmpl w:val="5052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A16A5"/>
    <w:multiLevelType w:val="hybridMultilevel"/>
    <w:tmpl w:val="E4A05C2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0E725F70"/>
    <w:multiLevelType w:val="hybridMultilevel"/>
    <w:tmpl w:val="AFC24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5617AA"/>
    <w:multiLevelType w:val="multilevel"/>
    <w:tmpl w:val="F132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726DC"/>
    <w:multiLevelType w:val="hybridMultilevel"/>
    <w:tmpl w:val="FD8CA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2E375D"/>
    <w:multiLevelType w:val="hybridMultilevel"/>
    <w:tmpl w:val="61D4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FC3712"/>
    <w:multiLevelType w:val="hybridMultilevel"/>
    <w:tmpl w:val="FA6000AE"/>
    <w:lvl w:ilvl="0" w:tplc="E3F4C89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34FB46A5"/>
    <w:multiLevelType w:val="hybridMultilevel"/>
    <w:tmpl w:val="74A6A2C0"/>
    <w:lvl w:ilvl="0" w:tplc="25C2DC1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15:restartNumberingAfterBreak="0">
    <w:nsid w:val="435E2949"/>
    <w:multiLevelType w:val="hybridMultilevel"/>
    <w:tmpl w:val="33AE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50CAF"/>
    <w:multiLevelType w:val="hybridMultilevel"/>
    <w:tmpl w:val="6F16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B7928"/>
    <w:multiLevelType w:val="hybridMultilevel"/>
    <w:tmpl w:val="A1C8FD94"/>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11" w15:restartNumberingAfterBreak="0">
    <w:nsid w:val="4FEE186C"/>
    <w:multiLevelType w:val="hybridMultilevel"/>
    <w:tmpl w:val="ABB4B3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D719BD"/>
    <w:multiLevelType w:val="hybridMultilevel"/>
    <w:tmpl w:val="E5162706"/>
    <w:lvl w:ilvl="0" w:tplc="98800576">
      <w:start w:val="1"/>
      <w:numFmt w:val="decimal"/>
      <w:lvlText w:val="(%1)"/>
      <w:lvlJc w:val="left"/>
      <w:pPr>
        <w:ind w:left="612" w:hanging="360"/>
      </w:pPr>
      <w:rPr>
        <w:rFonts w:hint="default"/>
        <w:b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5D7C2038"/>
    <w:multiLevelType w:val="hybridMultilevel"/>
    <w:tmpl w:val="D49CE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CB63C8"/>
    <w:multiLevelType w:val="hybridMultilevel"/>
    <w:tmpl w:val="640EE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1A5F77"/>
    <w:multiLevelType w:val="hybridMultilevel"/>
    <w:tmpl w:val="55540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BF6AF0"/>
    <w:multiLevelType w:val="hybridMultilevel"/>
    <w:tmpl w:val="4DC2626C"/>
    <w:lvl w:ilvl="0" w:tplc="AC22233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67435430"/>
    <w:multiLevelType w:val="hybridMultilevel"/>
    <w:tmpl w:val="432EA0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663F90"/>
    <w:multiLevelType w:val="hybridMultilevel"/>
    <w:tmpl w:val="6D86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C728C"/>
    <w:multiLevelType w:val="hybridMultilevel"/>
    <w:tmpl w:val="5C42BB8C"/>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20" w15:restartNumberingAfterBreak="0">
    <w:nsid w:val="7166310E"/>
    <w:multiLevelType w:val="hybridMultilevel"/>
    <w:tmpl w:val="404A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7D48CF"/>
    <w:multiLevelType w:val="hybridMultilevel"/>
    <w:tmpl w:val="8D06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A66C5"/>
    <w:multiLevelType w:val="hybridMultilevel"/>
    <w:tmpl w:val="E1645712"/>
    <w:lvl w:ilvl="0" w:tplc="A2B46E46">
      <w:start w:val="1"/>
      <w:numFmt w:val="decimal"/>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3"/>
  </w:num>
  <w:num w:numId="4">
    <w:abstractNumId w:val="11"/>
  </w:num>
  <w:num w:numId="5">
    <w:abstractNumId w:val="8"/>
  </w:num>
  <w:num w:numId="6">
    <w:abstractNumId w:val="2"/>
  </w:num>
  <w:num w:numId="7">
    <w:abstractNumId w:val="14"/>
  </w:num>
  <w:num w:numId="8">
    <w:abstractNumId w:val="21"/>
  </w:num>
  <w:num w:numId="9">
    <w:abstractNumId w:val="9"/>
  </w:num>
  <w:num w:numId="10">
    <w:abstractNumId w:val="20"/>
  </w:num>
  <w:num w:numId="11">
    <w:abstractNumId w:val="0"/>
  </w:num>
  <w:num w:numId="12">
    <w:abstractNumId w:val="7"/>
  </w:num>
  <w:num w:numId="13">
    <w:abstractNumId w:val="12"/>
  </w:num>
  <w:num w:numId="14">
    <w:abstractNumId w:val="16"/>
  </w:num>
  <w:num w:numId="15">
    <w:abstractNumId w:val="6"/>
  </w:num>
  <w:num w:numId="16">
    <w:abstractNumId w:val="22"/>
  </w:num>
  <w:num w:numId="17">
    <w:abstractNumId w:val="15"/>
  </w:num>
  <w:num w:numId="18">
    <w:abstractNumId w:val="4"/>
  </w:num>
  <w:num w:numId="19">
    <w:abstractNumId w:val="5"/>
  </w:num>
  <w:num w:numId="20">
    <w:abstractNumId w:val="1"/>
  </w:num>
  <w:num w:numId="21">
    <w:abstractNumId w:val="19"/>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27"/>
    <w:rsid w:val="000020E3"/>
    <w:rsid w:val="00003A64"/>
    <w:rsid w:val="0000636D"/>
    <w:rsid w:val="00011F2C"/>
    <w:rsid w:val="0001218F"/>
    <w:rsid w:val="00012CD7"/>
    <w:rsid w:val="00022AAF"/>
    <w:rsid w:val="00032B6F"/>
    <w:rsid w:val="00040FBD"/>
    <w:rsid w:val="000438F6"/>
    <w:rsid w:val="0006270F"/>
    <w:rsid w:val="000A65DE"/>
    <w:rsid w:val="000A67D3"/>
    <w:rsid w:val="000A72D3"/>
    <w:rsid w:val="000B0C88"/>
    <w:rsid w:val="000C32B5"/>
    <w:rsid w:val="000C682C"/>
    <w:rsid w:val="000D6796"/>
    <w:rsid w:val="000D7B6D"/>
    <w:rsid w:val="000E15C3"/>
    <w:rsid w:val="000E69CA"/>
    <w:rsid w:val="000F305C"/>
    <w:rsid w:val="00100ACF"/>
    <w:rsid w:val="001011A6"/>
    <w:rsid w:val="00110165"/>
    <w:rsid w:val="00114F46"/>
    <w:rsid w:val="00116507"/>
    <w:rsid w:val="001168D5"/>
    <w:rsid w:val="00122DD3"/>
    <w:rsid w:val="001260CB"/>
    <w:rsid w:val="00132960"/>
    <w:rsid w:val="001378B4"/>
    <w:rsid w:val="00144AB1"/>
    <w:rsid w:val="001543D5"/>
    <w:rsid w:val="00163649"/>
    <w:rsid w:val="001636F2"/>
    <w:rsid w:val="001851BD"/>
    <w:rsid w:val="00190785"/>
    <w:rsid w:val="001929E8"/>
    <w:rsid w:val="00194417"/>
    <w:rsid w:val="001A24E6"/>
    <w:rsid w:val="001A281E"/>
    <w:rsid w:val="001A30DC"/>
    <w:rsid w:val="001A6F2A"/>
    <w:rsid w:val="001A78AA"/>
    <w:rsid w:val="001B56B0"/>
    <w:rsid w:val="001C7704"/>
    <w:rsid w:val="001E3335"/>
    <w:rsid w:val="001E71DD"/>
    <w:rsid w:val="001F2529"/>
    <w:rsid w:val="001F52A4"/>
    <w:rsid w:val="001F7073"/>
    <w:rsid w:val="00211B3E"/>
    <w:rsid w:val="00211E4A"/>
    <w:rsid w:val="0021295A"/>
    <w:rsid w:val="00214E3E"/>
    <w:rsid w:val="0022094B"/>
    <w:rsid w:val="0022568E"/>
    <w:rsid w:val="002256B7"/>
    <w:rsid w:val="00230EB8"/>
    <w:rsid w:val="002608A2"/>
    <w:rsid w:val="00274A49"/>
    <w:rsid w:val="002770D1"/>
    <w:rsid w:val="002860C5"/>
    <w:rsid w:val="00286EA2"/>
    <w:rsid w:val="00294FC3"/>
    <w:rsid w:val="002B075C"/>
    <w:rsid w:val="002B0C8A"/>
    <w:rsid w:val="002B0E52"/>
    <w:rsid w:val="002B3E74"/>
    <w:rsid w:val="002C7DA5"/>
    <w:rsid w:val="002D6C2D"/>
    <w:rsid w:val="002D6F6B"/>
    <w:rsid w:val="002F518F"/>
    <w:rsid w:val="002F7E40"/>
    <w:rsid w:val="0031067B"/>
    <w:rsid w:val="00333A7E"/>
    <w:rsid w:val="00342086"/>
    <w:rsid w:val="00342646"/>
    <w:rsid w:val="003511FD"/>
    <w:rsid w:val="00366EE0"/>
    <w:rsid w:val="003842A9"/>
    <w:rsid w:val="003901C7"/>
    <w:rsid w:val="0039533E"/>
    <w:rsid w:val="003B261E"/>
    <w:rsid w:val="003B4940"/>
    <w:rsid w:val="003B59FE"/>
    <w:rsid w:val="003C2062"/>
    <w:rsid w:val="003C532C"/>
    <w:rsid w:val="003D0136"/>
    <w:rsid w:val="003D2F05"/>
    <w:rsid w:val="003D7986"/>
    <w:rsid w:val="003E4224"/>
    <w:rsid w:val="003E5D6A"/>
    <w:rsid w:val="003F2748"/>
    <w:rsid w:val="00412BC8"/>
    <w:rsid w:val="00415104"/>
    <w:rsid w:val="00430C99"/>
    <w:rsid w:val="00470338"/>
    <w:rsid w:val="00475716"/>
    <w:rsid w:val="0048388D"/>
    <w:rsid w:val="00485D96"/>
    <w:rsid w:val="00490567"/>
    <w:rsid w:val="0049097C"/>
    <w:rsid w:val="00492D3D"/>
    <w:rsid w:val="004A29CE"/>
    <w:rsid w:val="004B167B"/>
    <w:rsid w:val="004D047E"/>
    <w:rsid w:val="004D42E5"/>
    <w:rsid w:val="004D59E8"/>
    <w:rsid w:val="004E5527"/>
    <w:rsid w:val="004F0FFA"/>
    <w:rsid w:val="004F6075"/>
    <w:rsid w:val="004F7740"/>
    <w:rsid w:val="0050027A"/>
    <w:rsid w:val="00502742"/>
    <w:rsid w:val="005033D9"/>
    <w:rsid w:val="005111D3"/>
    <w:rsid w:val="0052573E"/>
    <w:rsid w:val="00531653"/>
    <w:rsid w:val="0053207C"/>
    <w:rsid w:val="005337E0"/>
    <w:rsid w:val="005348C4"/>
    <w:rsid w:val="00534BA1"/>
    <w:rsid w:val="00536440"/>
    <w:rsid w:val="00552BD0"/>
    <w:rsid w:val="00553FB7"/>
    <w:rsid w:val="00561116"/>
    <w:rsid w:val="00561B4B"/>
    <w:rsid w:val="00581F21"/>
    <w:rsid w:val="00586E6D"/>
    <w:rsid w:val="005A0BA5"/>
    <w:rsid w:val="005B121A"/>
    <w:rsid w:val="005C52DC"/>
    <w:rsid w:val="005D3FCD"/>
    <w:rsid w:val="005E78C0"/>
    <w:rsid w:val="005F2480"/>
    <w:rsid w:val="0060250D"/>
    <w:rsid w:val="00631378"/>
    <w:rsid w:val="00632221"/>
    <w:rsid w:val="00632DDD"/>
    <w:rsid w:val="0063599D"/>
    <w:rsid w:val="00661899"/>
    <w:rsid w:val="0066769E"/>
    <w:rsid w:val="00673184"/>
    <w:rsid w:val="006849C7"/>
    <w:rsid w:val="006972C8"/>
    <w:rsid w:val="006A1FC7"/>
    <w:rsid w:val="006A3355"/>
    <w:rsid w:val="006A338F"/>
    <w:rsid w:val="006C0AE2"/>
    <w:rsid w:val="006D1455"/>
    <w:rsid w:val="006D612F"/>
    <w:rsid w:val="006E7EEB"/>
    <w:rsid w:val="006F2233"/>
    <w:rsid w:val="006F63BB"/>
    <w:rsid w:val="00726F5F"/>
    <w:rsid w:val="00727380"/>
    <w:rsid w:val="00742FC0"/>
    <w:rsid w:val="00746E46"/>
    <w:rsid w:val="00751375"/>
    <w:rsid w:val="00761183"/>
    <w:rsid w:val="00763E19"/>
    <w:rsid w:val="00773AA2"/>
    <w:rsid w:val="00783CD5"/>
    <w:rsid w:val="0079156E"/>
    <w:rsid w:val="00795329"/>
    <w:rsid w:val="00797028"/>
    <w:rsid w:val="007A704E"/>
    <w:rsid w:val="007B5089"/>
    <w:rsid w:val="007C2BD7"/>
    <w:rsid w:val="007C6B17"/>
    <w:rsid w:val="007E3B1F"/>
    <w:rsid w:val="007E4204"/>
    <w:rsid w:val="007F3C9F"/>
    <w:rsid w:val="007F5CEF"/>
    <w:rsid w:val="007F7AB9"/>
    <w:rsid w:val="0080238B"/>
    <w:rsid w:val="00806E92"/>
    <w:rsid w:val="00812F8C"/>
    <w:rsid w:val="00831D3C"/>
    <w:rsid w:val="00833320"/>
    <w:rsid w:val="00842A84"/>
    <w:rsid w:val="00843809"/>
    <w:rsid w:val="008462CC"/>
    <w:rsid w:val="00857571"/>
    <w:rsid w:val="00877D44"/>
    <w:rsid w:val="008815A2"/>
    <w:rsid w:val="00894015"/>
    <w:rsid w:val="008A1EFA"/>
    <w:rsid w:val="008B514C"/>
    <w:rsid w:val="008D33BE"/>
    <w:rsid w:val="008E1476"/>
    <w:rsid w:val="008E5B6D"/>
    <w:rsid w:val="008F3172"/>
    <w:rsid w:val="008F6CAB"/>
    <w:rsid w:val="008F74EE"/>
    <w:rsid w:val="0090104B"/>
    <w:rsid w:val="0090533F"/>
    <w:rsid w:val="009073C5"/>
    <w:rsid w:val="009237B0"/>
    <w:rsid w:val="009328B2"/>
    <w:rsid w:val="00934C33"/>
    <w:rsid w:val="00936D41"/>
    <w:rsid w:val="009372FB"/>
    <w:rsid w:val="009454A6"/>
    <w:rsid w:val="00957DF1"/>
    <w:rsid w:val="00957E6C"/>
    <w:rsid w:val="00960474"/>
    <w:rsid w:val="00962261"/>
    <w:rsid w:val="009668F2"/>
    <w:rsid w:val="00966B36"/>
    <w:rsid w:val="00967B53"/>
    <w:rsid w:val="00970BE9"/>
    <w:rsid w:val="009B58F1"/>
    <w:rsid w:val="009B5CDD"/>
    <w:rsid w:val="009B697F"/>
    <w:rsid w:val="009C0AAD"/>
    <w:rsid w:val="009C0F9E"/>
    <w:rsid w:val="009E4484"/>
    <w:rsid w:val="009F2BE9"/>
    <w:rsid w:val="009F5CAE"/>
    <w:rsid w:val="00A0513D"/>
    <w:rsid w:val="00A249AD"/>
    <w:rsid w:val="00A44689"/>
    <w:rsid w:val="00A45E8E"/>
    <w:rsid w:val="00A51DEA"/>
    <w:rsid w:val="00A55311"/>
    <w:rsid w:val="00A55D82"/>
    <w:rsid w:val="00A56181"/>
    <w:rsid w:val="00A660B6"/>
    <w:rsid w:val="00A75B37"/>
    <w:rsid w:val="00A90FF5"/>
    <w:rsid w:val="00AC1799"/>
    <w:rsid w:val="00AC6448"/>
    <w:rsid w:val="00AC71C5"/>
    <w:rsid w:val="00AE1F57"/>
    <w:rsid w:val="00B141BB"/>
    <w:rsid w:val="00B14E3E"/>
    <w:rsid w:val="00B15A52"/>
    <w:rsid w:val="00B168DA"/>
    <w:rsid w:val="00B17295"/>
    <w:rsid w:val="00B22276"/>
    <w:rsid w:val="00B241BF"/>
    <w:rsid w:val="00B400C4"/>
    <w:rsid w:val="00B4299F"/>
    <w:rsid w:val="00B52B9F"/>
    <w:rsid w:val="00B56974"/>
    <w:rsid w:val="00B75E2E"/>
    <w:rsid w:val="00B804F9"/>
    <w:rsid w:val="00B916C4"/>
    <w:rsid w:val="00B92FA3"/>
    <w:rsid w:val="00BA12A2"/>
    <w:rsid w:val="00BA6943"/>
    <w:rsid w:val="00BB1A04"/>
    <w:rsid w:val="00BD71F2"/>
    <w:rsid w:val="00BE3FC0"/>
    <w:rsid w:val="00BE63AC"/>
    <w:rsid w:val="00C06629"/>
    <w:rsid w:val="00C06B48"/>
    <w:rsid w:val="00C073F5"/>
    <w:rsid w:val="00C145DB"/>
    <w:rsid w:val="00C14E3B"/>
    <w:rsid w:val="00C16888"/>
    <w:rsid w:val="00C169AD"/>
    <w:rsid w:val="00C17C3D"/>
    <w:rsid w:val="00C47F5E"/>
    <w:rsid w:val="00C50FF3"/>
    <w:rsid w:val="00C563D8"/>
    <w:rsid w:val="00C61DB9"/>
    <w:rsid w:val="00C70BC4"/>
    <w:rsid w:val="00C824FE"/>
    <w:rsid w:val="00C84706"/>
    <w:rsid w:val="00C87D6B"/>
    <w:rsid w:val="00C93261"/>
    <w:rsid w:val="00C95AE2"/>
    <w:rsid w:val="00CA392A"/>
    <w:rsid w:val="00CB6630"/>
    <w:rsid w:val="00CC315C"/>
    <w:rsid w:val="00CD0C8C"/>
    <w:rsid w:val="00CE2ADA"/>
    <w:rsid w:val="00CF122B"/>
    <w:rsid w:val="00D01339"/>
    <w:rsid w:val="00D02684"/>
    <w:rsid w:val="00D10B88"/>
    <w:rsid w:val="00D13780"/>
    <w:rsid w:val="00D248AC"/>
    <w:rsid w:val="00D24A23"/>
    <w:rsid w:val="00D43D73"/>
    <w:rsid w:val="00D44432"/>
    <w:rsid w:val="00D60314"/>
    <w:rsid w:val="00D62E8A"/>
    <w:rsid w:val="00D665AF"/>
    <w:rsid w:val="00D711CF"/>
    <w:rsid w:val="00D75A83"/>
    <w:rsid w:val="00D76186"/>
    <w:rsid w:val="00D8186E"/>
    <w:rsid w:val="00D82F99"/>
    <w:rsid w:val="00D865F5"/>
    <w:rsid w:val="00D95A43"/>
    <w:rsid w:val="00D96A91"/>
    <w:rsid w:val="00DB422A"/>
    <w:rsid w:val="00DB4A19"/>
    <w:rsid w:val="00DC60D9"/>
    <w:rsid w:val="00DC68B5"/>
    <w:rsid w:val="00DD7CC5"/>
    <w:rsid w:val="00DE3EDD"/>
    <w:rsid w:val="00DE3EF4"/>
    <w:rsid w:val="00DE4BE2"/>
    <w:rsid w:val="00E04979"/>
    <w:rsid w:val="00E22508"/>
    <w:rsid w:val="00E31F64"/>
    <w:rsid w:val="00E4039B"/>
    <w:rsid w:val="00E74692"/>
    <w:rsid w:val="00E7691D"/>
    <w:rsid w:val="00E846E0"/>
    <w:rsid w:val="00E95798"/>
    <w:rsid w:val="00EB3F27"/>
    <w:rsid w:val="00EC0F8B"/>
    <w:rsid w:val="00EC430C"/>
    <w:rsid w:val="00EE257D"/>
    <w:rsid w:val="00EE5078"/>
    <w:rsid w:val="00EF3091"/>
    <w:rsid w:val="00EF44A0"/>
    <w:rsid w:val="00F012F6"/>
    <w:rsid w:val="00F12916"/>
    <w:rsid w:val="00F206F7"/>
    <w:rsid w:val="00F305FA"/>
    <w:rsid w:val="00F31942"/>
    <w:rsid w:val="00F650BF"/>
    <w:rsid w:val="00F82E78"/>
    <w:rsid w:val="00F84E32"/>
    <w:rsid w:val="00F92E43"/>
    <w:rsid w:val="00F9474C"/>
    <w:rsid w:val="00F95E33"/>
    <w:rsid w:val="00FA1738"/>
    <w:rsid w:val="00FB30B9"/>
    <w:rsid w:val="00FB37C8"/>
    <w:rsid w:val="00FB7416"/>
    <w:rsid w:val="00FC1A2C"/>
    <w:rsid w:val="00FC21AD"/>
    <w:rsid w:val="00FC7DEF"/>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33B8B129"/>
  <w15:docId w15:val="{8A1BBAF8-AC5C-42DF-98B6-A00833F5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172"/>
    <w:pPr>
      <w:ind w:left="720"/>
      <w:contextualSpacing/>
    </w:pPr>
  </w:style>
  <w:style w:type="paragraph" w:styleId="FootnoteText">
    <w:name w:val="footnote text"/>
    <w:basedOn w:val="Normal"/>
    <w:link w:val="FootnoteTextChar"/>
    <w:uiPriority w:val="99"/>
    <w:semiHidden/>
    <w:unhideWhenUsed/>
    <w:rsid w:val="008F3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172"/>
    <w:rPr>
      <w:sz w:val="20"/>
      <w:szCs w:val="20"/>
    </w:rPr>
  </w:style>
  <w:style w:type="character" w:styleId="FootnoteReference">
    <w:name w:val="footnote reference"/>
    <w:basedOn w:val="DefaultParagraphFont"/>
    <w:uiPriority w:val="99"/>
    <w:semiHidden/>
    <w:unhideWhenUsed/>
    <w:rsid w:val="008F3172"/>
    <w:rPr>
      <w:vertAlign w:val="superscript"/>
    </w:rPr>
  </w:style>
  <w:style w:type="paragraph" w:styleId="CommentText">
    <w:name w:val="annotation text"/>
    <w:basedOn w:val="Normal"/>
    <w:link w:val="CommentTextChar"/>
    <w:uiPriority w:val="99"/>
    <w:unhideWhenUsed/>
    <w:rsid w:val="00783CD5"/>
    <w:rPr>
      <w:sz w:val="20"/>
      <w:szCs w:val="20"/>
    </w:rPr>
  </w:style>
  <w:style w:type="character" w:customStyle="1" w:styleId="CommentTextChar">
    <w:name w:val="Comment Text Char"/>
    <w:basedOn w:val="DefaultParagraphFont"/>
    <w:link w:val="CommentText"/>
    <w:uiPriority w:val="99"/>
    <w:rsid w:val="00783CD5"/>
  </w:style>
  <w:style w:type="paragraph" w:styleId="CommentSubject">
    <w:name w:val="annotation subject"/>
    <w:basedOn w:val="CommentText"/>
    <w:next w:val="CommentText"/>
    <w:link w:val="CommentSubjectChar"/>
    <w:uiPriority w:val="99"/>
    <w:semiHidden/>
    <w:unhideWhenUsed/>
    <w:rsid w:val="00783CD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783CD5"/>
    <w:rPr>
      <w:rFonts w:ascii="Times New Roman" w:eastAsia="Times New Roman" w:hAnsi="Times New Roman"/>
      <w:b/>
      <w:bCs/>
    </w:rPr>
  </w:style>
  <w:style w:type="character" w:styleId="Strong">
    <w:name w:val="Strong"/>
    <w:basedOn w:val="DefaultParagraphFont"/>
    <w:uiPriority w:val="22"/>
    <w:qFormat/>
    <w:rsid w:val="00552BD0"/>
    <w:rPr>
      <w:b/>
      <w:bCs/>
    </w:rPr>
  </w:style>
  <w:style w:type="character" w:styleId="Emphasis">
    <w:name w:val="Emphasis"/>
    <w:basedOn w:val="DefaultParagraphFont"/>
    <w:uiPriority w:val="20"/>
    <w:qFormat/>
    <w:rsid w:val="00B804F9"/>
    <w:rPr>
      <w:i/>
      <w:iCs/>
    </w:rPr>
  </w:style>
  <w:style w:type="character" w:styleId="CommentReference">
    <w:name w:val="annotation reference"/>
    <w:basedOn w:val="DefaultParagraphFont"/>
    <w:uiPriority w:val="99"/>
    <w:semiHidden/>
    <w:unhideWhenUsed/>
    <w:rsid w:val="001F2529"/>
    <w:rPr>
      <w:sz w:val="16"/>
      <w:szCs w:val="16"/>
    </w:rPr>
  </w:style>
  <w:style w:type="paragraph" w:styleId="BalloonText">
    <w:name w:val="Balloon Text"/>
    <w:basedOn w:val="Normal"/>
    <w:link w:val="BalloonTextChar"/>
    <w:uiPriority w:val="99"/>
    <w:semiHidden/>
    <w:unhideWhenUsed/>
    <w:rsid w:val="001F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529"/>
    <w:rPr>
      <w:rFonts w:ascii="Tahoma" w:hAnsi="Tahoma" w:cs="Tahoma"/>
      <w:sz w:val="16"/>
      <w:szCs w:val="16"/>
    </w:rPr>
  </w:style>
  <w:style w:type="paragraph" w:customStyle="1" w:styleId="Blockquote">
    <w:name w:val="Blockquote"/>
    <w:basedOn w:val="Normal"/>
    <w:uiPriority w:val="99"/>
    <w:rsid w:val="006849C7"/>
    <w:pPr>
      <w:spacing w:before="100" w:after="100" w:line="240" w:lineRule="auto"/>
      <w:ind w:left="360" w:right="360"/>
    </w:pPr>
    <w:rPr>
      <w:rFonts w:ascii="Times New Roman" w:eastAsia="Times New Roman" w:hAnsi="Times New Roman"/>
      <w:sz w:val="24"/>
      <w:szCs w:val="24"/>
    </w:rPr>
  </w:style>
  <w:style w:type="paragraph" w:styleId="Header">
    <w:name w:val="header"/>
    <w:basedOn w:val="Normal"/>
    <w:link w:val="HeaderChar"/>
    <w:uiPriority w:val="99"/>
    <w:unhideWhenUsed/>
    <w:rsid w:val="005E7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8C0"/>
    <w:rPr>
      <w:sz w:val="22"/>
      <w:szCs w:val="22"/>
    </w:rPr>
  </w:style>
  <w:style w:type="paragraph" w:styleId="Footer">
    <w:name w:val="footer"/>
    <w:basedOn w:val="Normal"/>
    <w:link w:val="FooterChar"/>
    <w:uiPriority w:val="99"/>
    <w:unhideWhenUsed/>
    <w:rsid w:val="005E7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8C0"/>
    <w:rPr>
      <w:sz w:val="22"/>
      <w:szCs w:val="22"/>
    </w:rPr>
  </w:style>
  <w:style w:type="paragraph" w:customStyle="1" w:styleId="Default">
    <w:name w:val="Default"/>
    <w:rsid w:val="00A0513D"/>
    <w:pPr>
      <w:autoSpaceDE w:val="0"/>
      <w:autoSpaceDN w:val="0"/>
      <w:adjustRightInd w:val="0"/>
    </w:pPr>
    <w:rPr>
      <w:rFonts w:ascii="Times New Roman PS" w:hAnsi="Times New Roman PS" w:cs="Times New Roman PS"/>
      <w:color w:val="000000"/>
      <w:sz w:val="24"/>
      <w:szCs w:val="24"/>
    </w:rPr>
  </w:style>
  <w:style w:type="paragraph" w:styleId="Revision">
    <w:name w:val="Revision"/>
    <w:hidden/>
    <w:uiPriority w:val="99"/>
    <w:semiHidden/>
    <w:rsid w:val="00AC6448"/>
    <w:rPr>
      <w:sz w:val="22"/>
      <w:szCs w:val="22"/>
    </w:rPr>
  </w:style>
  <w:style w:type="paragraph" w:styleId="NormalWeb">
    <w:name w:val="Normal (Web)"/>
    <w:basedOn w:val="Normal"/>
    <w:uiPriority w:val="99"/>
    <w:semiHidden/>
    <w:unhideWhenUsed/>
    <w:rsid w:val="000A65D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512F4-DCC2-482C-9B77-8BE26BAF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Archives and Records Administration (NARA)</dc:creator>
  <cp:lastModifiedBy>Katherene Kim</cp:lastModifiedBy>
  <cp:revision>3</cp:revision>
  <dcterms:created xsi:type="dcterms:W3CDTF">2022-02-28T14:42:00Z</dcterms:created>
  <dcterms:modified xsi:type="dcterms:W3CDTF">2022-03-11T20:58:00Z</dcterms:modified>
</cp:coreProperties>
</file>