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749B3" w14:textId="2FBB0195" w:rsidR="00917CB7" w:rsidRDefault="00D16FDB" w:rsidP="005F1509">
      <w:pPr>
        <w:spacing w:after="0" w:line="240" w:lineRule="auto"/>
        <w:ind w:left="-720"/>
        <w:jc w:val="center"/>
        <w:outlineLvl w:val="0"/>
      </w:pPr>
      <w:r>
        <w:rPr>
          <w:b/>
          <w:sz w:val="36"/>
          <w:szCs w:val="36"/>
        </w:rPr>
        <w:t xml:space="preserve">GENERAL RECORDS SCHEDULE 5.1: </w:t>
      </w:r>
      <w:r w:rsidR="00373DAC" w:rsidRPr="00C714DC">
        <w:rPr>
          <w:b/>
          <w:sz w:val="36"/>
          <w:szCs w:val="36"/>
        </w:rPr>
        <w:t>Common</w:t>
      </w:r>
      <w:r w:rsidR="00251EBC" w:rsidRPr="00C714DC">
        <w:rPr>
          <w:b/>
          <w:sz w:val="36"/>
          <w:szCs w:val="36"/>
        </w:rPr>
        <w:t xml:space="preserve"> Office</w:t>
      </w:r>
      <w:r>
        <w:rPr>
          <w:b/>
          <w:sz w:val="36"/>
          <w:szCs w:val="36"/>
        </w:rPr>
        <w:t xml:space="preserve"> Records</w:t>
      </w:r>
    </w:p>
    <w:p w14:paraId="74330F2C" w14:textId="77777777" w:rsidR="00917CB7" w:rsidRDefault="00917CB7">
      <w:pPr>
        <w:spacing w:after="0" w:line="240" w:lineRule="auto"/>
      </w:pPr>
    </w:p>
    <w:p w14:paraId="65D9FF32" w14:textId="024F9CE1" w:rsidR="00917CB7" w:rsidRPr="00C714DC" w:rsidRDefault="00D16FDB">
      <w:pPr>
        <w:spacing w:after="0" w:line="240" w:lineRule="auto"/>
      </w:pPr>
      <w:r w:rsidRPr="00C714DC">
        <w:t xml:space="preserve">This schedule </w:t>
      </w:r>
      <w:r w:rsidR="005F1509" w:rsidRPr="00C714DC">
        <w:t>covers</w:t>
      </w:r>
      <w:r w:rsidRPr="00C714DC">
        <w:t xml:space="preserve"> </w:t>
      </w:r>
      <w:r w:rsidR="004E0C2F" w:rsidRPr="00C714DC">
        <w:t xml:space="preserve">certain </w:t>
      </w:r>
      <w:r w:rsidRPr="00C714DC">
        <w:t>records common to most offices in Federal agencies</w:t>
      </w:r>
      <w:r w:rsidR="00091B3F" w:rsidRPr="00C714DC">
        <w:t>, whether those offices are involved in administrative or mission-related activities</w:t>
      </w:r>
      <w:r w:rsidRPr="00C714DC">
        <w:t xml:space="preserve">. </w:t>
      </w:r>
      <w:r w:rsidR="00654AAC" w:rsidRPr="00C714DC">
        <w:t xml:space="preserve">Most of these records are administrative housekeeping records. </w:t>
      </w:r>
      <w:r w:rsidRPr="00C714DC">
        <w:t>A</w:t>
      </w:r>
      <w:r w:rsidR="005F1509" w:rsidRPr="00C714DC">
        <w:t xml:space="preserve">gencies </w:t>
      </w:r>
      <w:r w:rsidRPr="00C714DC">
        <w:t xml:space="preserve">create and maintain </w:t>
      </w:r>
      <w:r w:rsidR="005F1509" w:rsidRPr="00C714DC">
        <w:t xml:space="preserve">administrative records when </w:t>
      </w:r>
      <w:r w:rsidRPr="00C714DC">
        <w:t xml:space="preserve">carrying out general, non-mission-related activities that keep an office operating. In contrast, </w:t>
      </w:r>
      <w:r w:rsidR="005F1509" w:rsidRPr="00C714DC">
        <w:t xml:space="preserve">agencies create </w:t>
      </w:r>
      <w:r w:rsidRPr="00C714DC">
        <w:t xml:space="preserve">mission records </w:t>
      </w:r>
      <w:r w:rsidR="005F1509" w:rsidRPr="00C714DC">
        <w:t>when</w:t>
      </w:r>
      <w:r w:rsidR="00A26F9E" w:rsidRPr="00C714DC">
        <w:t xml:space="preserve"> carrying</w:t>
      </w:r>
      <w:r w:rsidRPr="00C714DC">
        <w:t xml:space="preserve"> out the unique activities for which the agency </w:t>
      </w:r>
      <w:r w:rsidR="005F1509" w:rsidRPr="00C714DC">
        <w:t>was</w:t>
      </w:r>
      <w:r w:rsidRPr="00C714DC">
        <w:t xml:space="preserve"> esta</w:t>
      </w:r>
      <w:r w:rsidR="00091B3F" w:rsidRPr="00C714DC">
        <w:t>blished</w:t>
      </w:r>
      <w:r w:rsidR="00E85A16" w:rsidRPr="00C714DC">
        <w:t xml:space="preserve">. </w:t>
      </w:r>
      <w:r w:rsidR="00654AAC" w:rsidRPr="00C714DC">
        <w:t xml:space="preserve">The only mission-related records this schedule covers are non-recordkeeping copies of electronic records (item 020) that are maintained for </w:t>
      </w:r>
      <w:r w:rsidR="00373DAC" w:rsidRPr="00C714DC">
        <w:t>decision-making purposes</w:t>
      </w:r>
      <w:r w:rsidR="00654AAC" w:rsidRPr="00C714DC">
        <w:t xml:space="preserve"> or </w:t>
      </w:r>
      <w:proofErr w:type="gramStart"/>
      <w:r w:rsidR="00654AAC" w:rsidRPr="00C714DC">
        <w:t>taking action</w:t>
      </w:r>
      <w:proofErr w:type="gramEnd"/>
      <w:r w:rsidR="00654AAC" w:rsidRPr="00C714DC">
        <w:t xml:space="preserve">. </w:t>
      </w:r>
      <w:r w:rsidR="00373DAC" w:rsidRPr="00C714DC">
        <w:t>Copies</w:t>
      </w:r>
      <w:r w:rsidR="00654AAC" w:rsidRPr="00C714DC">
        <w:t xml:space="preserve"> maintained solely for convenience of reference are considered non-record materials.  </w:t>
      </w:r>
      <w:r w:rsidR="00E85A16" w:rsidRPr="00C714DC">
        <w:t>This</w:t>
      </w:r>
      <w:r w:rsidR="00091B3F" w:rsidRPr="00C714DC">
        <w:t xml:space="preserve"> schedule </w:t>
      </w:r>
      <w:r w:rsidR="005F1509" w:rsidRPr="00C714DC">
        <w:t>may</w:t>
      </w:r>
      <w:r w:rsidR="00654AAC" w:rsidRPr="00C714DC">
        <w:t xml:space="preserve"> be</w:t>
      </w:r>
      <w:r w:rsidR="00091B3F" w:rsidRPr="00C714DC">
        <w:t xml:space="preserve"> </w:t>
      </w:r>
      <w:r w:rsidR="00654AAC" w:rsidRPr="00C714DC">
        <w:t>applied</w:t>
      </w:r>
      <w:r w:rsidR="005F1509" w:rsidRPr="00C714DC">
        <w:t xml:space="preserve"> </w:t>
      </w:r>
      <w:r w:rsidR="00091B3F" w:rsidRPr="00C714DC">
        <w:t>to records in offices that carry out mission-related activities</w:t>
      </w:r>
      <w:r w:rsidR="00654AAC" w:rsidRPr="00C714DC">
        <w:t xml:space="preserve">, </w:t>
      </w:r>
      <w:r w:rsidR="00373DAC" w:rsidRPr="00C714DC">
        <w:t>but only those records that are described here</w:t>
      </w:r>
      <w:r w:rsidR="00091B3F" w:rsidRPr="00C714DC">
        <w:t>.</w:t>
      </w:r>
      <w:r w:rsidR="00410F23" w:rsidRPr="00C714DC">
        <w:t xml:space="preserve"> </w:t>
      </w:r>
    </w:p>
    <w:p w14:paraId="772016E0" w14:textId="77777777" w:rsidR="00917CB7" w:rsidRPr="00C714DC" w:rsidRDefault="00917CB7">
      <w:pPr>
        <w:spacing w:after="0" w:line="240" w:lineRule="auto"/>
      </w:pPr>
    </w:p>
    <w:p w14:paraId="251A76EE" w14:textId="54852B58" w:rsidR="00917CB7" w:rsidRDefault="00D16FDB">
      <w:pPr>
        <w:spacing w:after="0" w:line="240" w:lineRule="auto"/>
      </w:pPr>
      <w:r w:rsidRPr="00C714DC">
        <w:t xml:space="preserve">This schedule does not apply to transitory records, which are scheduled in GRS 5.2. The distinction between transitory and </w:t>
      </w:r>
      <w:r w:rsidR="00654AAC" w:rsidRPr="00C714DC">
        <w:t>the</w:t>
      </w:r>
      <w:r w:rsidRPr="00C714DC">
        <w:t xml:space="preserve"> records</w:t>
      </w:r>
      <w:r w:rsidR="00654AAC" w:rsidRPr="00C714DC">
        <w:t xml:space="preserve"> covered in this schedule</w:t>
      </w:r>
      <w:r w:rsidRPr="00C714DC">
        <w:t xml:space="preserve"> is that </w:t>
      </w:r>
      <w:r w:rsidR="00654AAC" w:rsidRPr="00C714DC">
        <w:t>the</w:t>
      </w:r>
      <w:r w:rsidRPr="00C714DC">
        <w:t xml:space="preserve"> records</w:t>
      </w:r>
      <w:r w:rsidR="00654AAC" w:rsidRPr="00C714DC">
        <w:t xml:space="preserve"> here</w:t>
      </w:r>
      <w:r w:rsidRPr="00C714DC">
        <w:t xml:space="preserve"> generally have a longer period of business use than transitory records. This schedule </w:t>
      </w:r>
      <w:r w:rsidR="005F1509" w:rsidRPr="00C714DC">
        <w:t xml:space="preserve">also </w:t>
      </w:r>
      <w:r w:rsidRPr="00C714DC">
        <w:t>does not cover materials an agency determine</w:t>
      </w:r>
      <w:r w:rsidR="005F1509" w:rsidRPr="00C714DC">
        <w:t>s</w:t>
      </w:r>
      <w:r w:rsidRPr="00C714DC">
        <w:t xml:space="preserve"> to be non-record or personal.</w:t>
      </w:r>
    </w:p>
    <w:p w14:paraId="03513D24" w14:textId="77777777" w:rsidR="00917CB7" w:rsidRDefault="00917CB7">
      <w:pPr>
        <w:spacing w:after="0" w:line="240" w:lineRule="auto"/>
      </w:pPr>
    </w:p>
    <w:tbl>
      <w:tblPr>
        <w:tblStyle w:val="a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715"/>
        <w:gridCol w:w="10530"/>
        <w:gridCol w:w="1800"/>
        <w:gridCol w:w="1350"/>
      </w:tblGrid>
      <w:tr w:rsidR="00A26F9E" w14:paraId="0989DD22" w14:textId="77777777" w:rsidTr="000D6929">
        <w:trPr>
          <w:tblHeader/>
        </w:trPr>
        <w:tc>
          <w:tcPr>
            <w:tcW w:w="715" w:type="dxa"/>
            <w:shd w:val="clear" w:color="auto" w:fill="B6DDE8"/>
          </w:tcPr>
          <w:p w14:paraId="5EA335CA" w14:textId="77777777" w:rsidR="00A26F9E" w:rsidRDefault="00A26F9E">
            <w:pPr>
              <w:spacing w:after="0" w:line="240" w:lineRule="auto"/>
              <w:jc w:val="center"/>
            </w:pPr>
            <w:r>
              <w:rPr>
                <w:b/>
              </w:rPr>
              <w:t>Item</w:t>
            </w:r>
          </w:p>
        </w:tc>
        <w:tc>
          <w:tcPr>
            <w:tcW w:w="10530" w:type="dxa"/>
            <w:shd w:val="clear" w:color="auto" w:fill="B6DDE8"/>
          </w:tcPr>
          <w:p w14:paraId="36536A91" w14:textId="77777777" w:rsidR="00A26F9E" w:rsidRDefault="00A26F9E">
            <w:pPr>
              <w:spacing w:after="0" w:line="240" w:lineRule="auto"/>
            </w:pPr>
            <w:r>
              <w:rPr>
                <w:b/>
              </w:rPr>
              <w:t>Records Description</w:t>
            </w:r>
          </w:p>
        </w:tc>
        <w:tc>
          <w:tcPr>
            <w:tcW w:w="1800" w:type="dxa"/>
            <w:shd w:val="clear" w:color="auto" w:fill="B6DDE8"/>
          </w:tcPr>
          <w:p w14:paraId="392C0189" w14:textId="77777777" w:rsidR="00A26F9E" w:rsidRDefault="00A26F9E" w:rsidP="009A2316">
            <w:pPr>
              <w:spacing w:after="0" w:line="240" w:lineRule="auto"/>
            </w:pPr>
            <w:r>
              <w:rPr>
                <w:b/>
              </w:rPr>
              <w:t>Disposition Instruction</w:t>
            </w:r>
          </w:p>
        </w:tc>
        <w:tc>
          <w:tcPr>
            <w:tcW w:w="1350" w:type="dxa"/>
            <w:shd w:val="clear" w:color="auto" w:fill="B6DDE8"/>
          </w:tcPr>
          <w:p w14:paraId="6843BBD6" w14:textId="77777777" w:rsidR="00A26F9E" w:rsidRDefault="00A26F9E">
            <w:pPr>
              <w:spacing w:after="0" w:line="240" w:lineRule="auto"/>
              <w:jc w:val="center"/>
            </w:pPr>
            <w:r>
              <w:rPr>
                <w:b/>
              </w:rPr>
              <w:t>Disposition Authority</w:t>
            </w:r>
          </w:p>
        </w:tc>
      </w:tr>
      <w:tr w:rsidR="00A26F9E" w14:paraId="2812F531" w14:textId="77777777" w:rsidTr="000D6929">
        <w:tc>
          <w:tcPr>
            <w:tcW w:w="715" w:type="dxa"/>
          </w:tcPr>
          <w:p w14:paraId="08F51368" w14:textId="77777777" w:rsidR="00A26F9E" w:rsidRDefault="00A26F9E">
            <w:pPr>
              <w:spacing w:after="0" w:line="240" w:lineRule="auto"/>
              <w:jc w:val="center"/>
            </w:pPr>
            <w:r>
              <w:t>010</w:t>
            </w:r>
          </w:p>
        </w:tc>
        <w:tc>
          <w:tcPr>
            <w:tcW w:w="10530" w:type="dxa"/>
          </w:tcPr>
          <w:p w14:paraId="3CF63D25" w14:textId="77777777" w:rsidR="00A26F9E" w:rsidRDefault="00A26F9E">
            <w:pPr>
              <w:spacing w:after="0" w:line="240" w:lineRule="auto"/>
              <w:ind w:left="11"/>
            </w:pPr>
            <w:r>
              <w:rPr>
                <w:b/>
              </w:rPr>
              <w:t xml:space="preserve">Administrative records maintained in any agency office. </w:t>
            </w:r>
          </w:p>
          <w:p w14:paraId="4D948F67" w14:textId="0368A65E" w:rsidR="00A26F9E" w:rsidRDefault="007046F8" w:rsidP="00E42784">
            <w:pPr>
              <w:spacing w:after="0" w:line="240" w:lineRule="auto"/>
              <w:ind w:left="330"/>
            </w:pPr>
            <w:r>
              <w:t>Records accumulated by indiv</w:t>
            </w:r>
            <w:r w:rsidR="00E42784">
              <w:t>idual offices that relate to</w:t>
            </w:r>
            <w:r>
              <w:t xml:space="preserve"> </w:t>
            </w:r>
            <w:r w:rsidR="00E42784">
              <w:t xml:space="preserve">routine day-to-day </w:t>
            </w:r>
            <w:r>
              <w:t xml:space="preserve">administration </w:t>
            </w:r>
            <w:r w:rsidR="00E42784">
              <w:t xml:space="preserve">and management </w:t>
            </w:r>
            <w:r>
              <w:t xml:space="preserve">of the office rather than </w:t>
            </w:r>
            <w:r w:rsidR="00E42784">
              <w:t>the mission-specific activities</w:t>
            </w:r>
            <w:r>
              <w:t xml:space="preserve"> for which the office exists</w:t>
            </w:r>
            <w:r w:rsidR="00A26F9E">
              <w:t>. Records include:</w:t>
            </w:r>
          </w:p>
          <w:p w14:paraId="574E4FE3" w14:textId="77777777" w:rsidR="00A26F9E" w:rsidRDefault="00A26F9E" w:rsidP="00C964F5">
            <w:pPr>
              <w:numPr>
                <w:ilvl w:val="0"/>
                <w:numId w:val="8"/>
              </w:numPr>
              <w:spacing w:after="0" w:line="240" w:lineRule="auto"/>
              <w:ind w:left="605" w:hanging="270"/>
              <w:contextualSpacing/>
            </w:pPr>
            <w:r>
              <w:t>staff locators, unofficial organizational charts, and office seating charts (see Exclusion 1)</w:t>
            </w:r>
          </w:p>
          <w:p w14:paraId="6E6E13B3" w14:textId="77777777" w:rsidR="005C40F6" w:rsidRDefault="005502C2" w:rsidP="00C964F5">
            <w:pPr>
              <w:numPr>
                <w:ilvl w:val="0"/>
                <w:numId w:val="8"/>
              </w:numPr>
              <w:spacing w:after="0" w:line="240" w:lineRule="auto"/>
              <w:ind w:left="605" w:hanging="270"/>
              <w:contextualSpacing/>
            </w:pPr>
            <w:r>
              <w:t>office-level</w:t>
            </w:r>
            <w:r w:rsidR="008E1350">
              <w:t xml:space="preserve"> </w:t>
            </w:r>
            <w:r w:rsidR="00A26F9E">
              <w:t>administrative policies and procedures and files related to their development</w:t>
            </w:r>
            <w:r w:rsidR="008E1350">
              <w:t xml:space="preserve"> </w:t>
            </w:r>
            <w:r w:rsidR="008E1350" w:rsidRPr="005502C2">
              <w:t>(see Note 1)</w:t>
            </w:r>
          </w:p>
          <w:p w14:paraId="67F0ACF7" w14:textId="61A860F9" w:rsidR="005C40F6" w:rsidRDefault="005C40F6" w:rsidP="00C964F5">
            <w:pPr>
              <w:numPr>
                <w:ilvl w:val="0"/>
                <w:numId w:val="8"/>
              </w:numPr>
              <w:spacing w:after="0" w:line="240" w:lineRule="auto"/>
              <w:ind w:left="605" w:hanging="270"/>
              <w:contextualSpacing/>
            </w:pPr>
            <w:r w:rsidRPr="005C40F6">
              <w:t xml:space="preserve">calendars or schedules of daily activities of non-high-level officials </w:t>
            </w:r>
            <w:r w:rsidRPr="0095791E">
              <w:t>(</w:t>
            </w:r>
            <w:r w:rsidR="00373DAC" w:rsidRPr="0095791E">
              <w:t>high-</w:t>
            </w:r>
            <w:r w:rsidRPr="0095791E">
              <w:t>level officials are defined in GRS 6.1</w:t>
            </w:r>
            <w:r w:rsidR="00373DAC" w:rsidRPr="0095791E">
              <w:t>; this item covers those positions not defined as high-level</w:t>
            </w:r>
            <w:r w:rsidRPr="0095791E">
              <w:t>)</w:t>
            </w:r>
          </w:p>
          <w:p w14:paraId="01651B81" w14:textId="3890F0FC" w:rsidR="005C40F6" w:rsidRDefault="005C40F6" w:rsidP="00C964F5">
            <w:pPr>
              <w:numPr>
                <w:ilvl w:val="0"/>
                <w:numId w:val="8"/>
              </w:numPr>
              <w:spacing w:after="0" w:line="240" w:lineRule="auto"/>
              <w:ind w:left="605" w:hanging="270"/>
              <w:contextualSpacing/>
            </w:pPr>
            <w:r w:rsidRPr="005C40F6">
              <w:t>informal requests and tracking of personnel training, travel, supplies, and equipment, excluding procurement and payment records and forms re</w:t>
            </w:r>
            <w:r>
              <w:t>questing training (</w:t>
            </w:r>
            <w:proofErr w:type="gramStart"/>
            <w:r>
              <w:t>e.g.</w:t>
            </w:r>
            <w:proofErr w:type="gramEnd"/>
            <w:r>
              <w:t xml:space="preserve"> SF-182)</w:t>
            </w:r>
          </w:p>
          <w:p w14:paraId="79EEAD18" w14:textId="66C343A9" w:rsidR="007046F8" w:rsidRDefault="007046F8" w:rsidP="00C964F5">
            <w:pPr>
              <w:numPr>
                <w:ilvl w:val="0"/>
                <w:numId w:val="8"/>
              </w:numPr>
              <w:spacing w:after="0" w:line="240" w:lineRule="auto"/>
              <w:ind w:left="605" w:hanging="270"/>
              <w:contextualSpacing/>
            </w:pPr>
            <w:r>
              <w:t xml:space="preserve">internal office activity and workload reports </w:t>
            </w:r>
          </w:p>
          <w:p w14:paraId="4C480E17" w14:textId="77777777" w:rsidR="00A26F9E" w:rsidRDefault="00A26F9E" w:rsidP="00C964F5">
            <w:pPr>
              <w:numPr>
                <w:ilvl w:val="0"/>
                <w:numId w:val="8"/>
              </w:numPr>
              <w:spacing w:after="0" w:line="240" w:lineRule="auto"/>
              <w:ind w:left="605" w:hanging="270"/>
              <w:contextualSpacing/>
            </w:pPr>
            <w:r>
              <w:rPr>
                <w:color w:val="333333"/>
                <w:highlight w:val="white"/>
              </w:rPr>
              <w:t>studies and analyses of office administrative functions and activities</w:t>
            </w:r>
          </w:p>
          <w:p w14:paraId="03515922" w14:textId="77777777" w:rsidR="00A26F9E" w:rsidRDefault="00A26F9E" w:rsidP="00C964F5">
            <w:pPr>
              <w:numPr>
                <w:ilvl w:val="0"/>
                <w:numId w:val="8"/>
              </w:numPr>
              <w:spacing w:after="0" w:line="240" w:lineRule="auto"/>
              <w:ind w:left="605" w:hanging="270"/>
              <w:contextualSpacing/>
            </w:pPr>
            <w:r>
              <w:t xml:space="preserve">non-mission related management reviews and surveys </w:t>
            </w:r>
          </w:p>
          <w:p w14:paraId="3D0FEC6D" w14:textId="26EDE718" w:rsidR="007046F8" w:rsidRDefault="007046F8" w:rsidP="00C964F5">
            <w:pPr>
              <w:numPr>
                <w:ilvl w:val="0"/>
                <w:numId w:val="8"/>
              </w:numPr>
              <w:spacing w:after="0" w:line="240" w:lineRule="auto"/>
              <w:ind w:left="605" w:hanging="270"/>
              <w:contextualSpacing/>
            </w:pPr>
            <w:r>
              <w:t>minutes of meetings related to administrative activities</w:t>
            </w:r>
          </w:p>
          <w:p w14:paraId="06C82908" w14:textId="77777777" w:rsidR="007046F8" w:rsidRDefault="007046F8" w:rsidP="007046F8">
            <w:pPr>
              <w:spacing w:after="0" w:line="240" w:lineRule="auto"/>
            </w:pPr>
          </w:p>
          <w:p w14:paraId="339F650C" w14:textId="1A24313E" w:rsidR="00A26F9E" w:rsidRDefault="00A26F9E">
            <w:pPr>
              <w:tabs>
                <w:tab w:val="left" w:pos="720"/>
                <w:tab w:val="left" w:pos="1080"/>
                <w:tab w:val="left" w:pos="1440"/>
                <w:tab w:val="left" w:pos="3420"/>
              </w:tabs>
              <w:spacing w:after="0" w:line="240" w:lineRule="auto"/>
              <w:ind w:left="335" w:right="180"/>
            </w:pPr>
            <w:r>
              <w:rPr>
                <w:b/>
              </w:rPr>
              <w:t xml:space="preserve">Exclusion 1: </w:t>
            </w:r>
            <w:r>
              <w:t>This item does not apply to recordkeeping copies of organizational charts, functional statements, and related records that document the mission-related organization, staffing, and procedures of the office.</w:t>
            </w:r>
            <w:r w:rsidR="003E013A">
              <w:t xml:space="preserve"> </w:t>
            </w:r>
            <w:r w:rsidR="003463C5">
              <w:t xml:space="preserve"> </w:t>
            </w:r>
            <w:r w:rsidR="00905378">
              <w:t xml:space="preserve">Agencies must schedule those </w:t>
            </w:r>
            <w:r w:rsidR="003E013A">
              <w:t>records on an agency-specific schedule.</w:t>
            </w:r>
          </w:p>
          <w:p w14:paraId="04F4442C" w14:textId="77777777" w:rsidR="00A26F9E" w:rsidRDefault="00A26F9E">
            <w:pPr>
              <w:tabs>
                <w:tab w:val="left" w:pos="720"/>
                <w:tab w:val="left" w:pos="1080"/>
                <w:tab w:val="left" w:pos="1440"/>
                <w:tab w:val="left" w:pos="3420"/>
              </w:tabs>
              <w:spacing w:after="0" w:line="240" w:lineRule="auto"/>
              <w:ind w:left="335" w:right="180"/>
            </w:pPr>
          </w:p>
          <w:p w14:paraId="06D7A2DB" w14:textId="7068D652" w:rsidR="00CC51F5" w:rsidRPr="007E4B96" w:rsidRDefault="008E1350" w:rsidP="007E4B96">
            <w:pPr>
              <w:tabs>
                <w:tab w:val="left" w:pos="720"/>
                <w:tab w:val="left" w:pos="1080"/>
                <w:tab w:val="left" w:pos="1440"/>
                <w:tab w:val="left" w:pos="3420"/>
              </w:tabs>
              <w:spacing w:after="0" w:line="240" w:lineRule="auto"/>
              <w:ind w:left="335" w:right="180"/>
            </w:pPr>
            <w:r w:rsidRPr="005502C2">
              <w:rPr>
                <w:b/>
              </w:rPr>
              <w:lastRenderedPageBreak/>
              <w:t xml:space="preserve">Note 1: </w:t>
            </w:r>
            <w:r w:rsidRPr="005502C2">
              <w:t xml:space="preserve">This item covers administrative policies and procedures at the office/unit level. </w:t>
            </w:r>
            <w:r w:rsidR="00905378">
              <w:t>GRS 5.7 covers a</w:t>
            </w:r>
            <w:r w:rsidRPr="005502C2">
              <w:t>gency-level administrative issuances or directives.</w:t>
            </w:r>
          </w:p>
        </w:tc>
        <w:tc>
          <w:tcPr>
            <w:tcW w:w="1800" w:type="dxa"/>
          </w:tcPr>
          <w:p w14:paraId="198F5B71" w14:textId="77777777" w:rsidR="00A26F9E" w:rsidRDefault="00A26F9E">
            <w:pPr>
              <w:spacing w:after="0" w:line="240" w:lineRule="auto"/>
              <w:ind w:left="11"/>
            </w:pPr>
            <w:r>
              <w:rPr>
                <w:b/>
              </w:rPr>
              <w:lastRenderedPageBreak/>
              <w:t xml:space="preserve">Temporary. </w:t>
            </w:r>
            <w:r>
              <w:t>Destroy when business use ceases.</w:t>
            </w:r>
          </w:p>
        </w:tc>
        <w:tc>
          <w:tcPr>
            <w:tcW w:w="1350" w:type="dxa"/>
          </w:tcPr>
          <w:p w14:paraId="2BB3B427" w14:textId="5AD6290A" w:rsidR="00A26F9E" w:rsidRDefault="00A26F9E">
            <w:pPr>
              <w:spacing w:after="0" w:line="240" w:lineRule="auto"/>
            </w:pPr>
            <w:r>
              <w:t>DAA-GRS-20</w:t>
            </w:r>
            <w:r w:rsidR="00254EC0">
              <w:t>16</w:t>
            </w:r>
            <w:r>
              <w:t>-</w:t>
            </w:r>
            <w:r w:rsidR="00254EC0">
              <w:t>0016</w:t>
            </w:r>
            <w:r>
              <w:t>-0001</w:t>
            </w:r>
          </w:p>
        </w:tc>
      </w:tr>
      <w:tr w:rsidR="00A26F9E" w14:paraId="4B676264" w14:textId="77777777" w:rsidTr="000D6929">
        <w:tc>
          <w:tcPr>
            <w:tcW w:w="715" w:type="dxa"/>
          </w:tcPr>
          <w:p w14:paraId="282FA34C" w14:textId="3A61EDE6" w:rsidR="00A26F9E" w:rsidRDefault="007B786E">
            <w:pPr>
              <w:spacing w:after="0" w:line="240" w:lineRule="auto"/>
              <w:jc w:val="center"/>
            </w:pPr>
            <w:r>
              <w:t>02</w:t>
            </w:r>
            <w:r w:rsidR="00A26F9E">
              <w:t>0</w:t>
            </w:r>
          </w:p>
        </w:tc>
        <w:tc>
          <w:tcPr>
            <w:tcW w:w="10530" w:type="dxa"/>
          </w:tcPr>
          <w:p w14:paraId="46986D1B" w14:textId="5F568BE6" w:rsidR="00A26F9E" w:rsidRDefault="00A26F9E">
            <w:pPr>
              <w:spacing w:after="0" w:line="240" w:lineRule="auto"/>
              <w:ind w:left="65"/>
            </w:pPr>
            <w:r>
              <w:rPr>
                <w:b/>
              </w:rPr>
              <w:t>Non-recordkeeping copies</w:t>
            </w:r>
            <w:r w:rsidR="00CC51F5">
              <w:rPr>
                <w:b/>
              </w:rPr>
              <w:t xml:space="preserve"> of electronic records</w:t>
            </w:r>
            <w:r>
              <w:rPr>
                <w:b/>
              </w:rPr>
              <w:t>.</w:t>
            </w:r>
          </w:p>
          <w:p w14:paraId="05424FA7" w14:textId="6C850C5F" w:rsidR="00CC51F5" w:rsidRDefault="00CC51F5" w:rsidP="00CC51F5">
            <w:pPr>
              <w:spacing w:after="0" w:line="240" w:lineRule="auto"/>
              <w:ind w:left="330"/>
            </w:pPr>
            <w:r>
              <w:t xml:space="preserve">Non-recordkeeping copies of electronic records </w:t>
            </w:r>
            <w:r w:rsidR="00A85E98">
              <w:t xml:space="preserve">agencies </w:t>
            </w:r>
            <w:r>
              <w:t>maintain in email systems, computer hard drives or networks, web servers, or other location</w:t>
            </w:r>
            <w:r w:rsidR="00A85E98">
              <w:t>s</w:t>
            </w:r>
            <w:r>
              <w:t xml:space="preserve"> after </w:t>
            </w:r>
            <w:r w:rsidR="00A85E98">
              <w:t xml:space="preserve">agencies copy </w:t>
            </w:r>
            <w:r w:rsidR="003463C5">
              <w:t xml:space="preserve">the records </w:t>
            </w:r>
            <w:r>
              <w:t>to a recordkeeping system or otherwise preserv</w:t>
            </w:r>
            <w:r w:rsidR="00A85E98">
              <w:t xml:space="preserve">e the recordkeeping </w:t>
            </w:r>
            <w:r w:rsidR="001F018F">
              <w:t>version</w:t>
            </w:r>
            <w:r>
              <w:t>. This includes:</w:t>
            </w:r>
          </w:p>
          <w:p w14:paraId="179AD80E" w14:textId="7CDB4CE1" w:rsidR="00CC51F5" w:rsidRDefault="00CC51F5" w:rsidP="00C9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5" w:hanging="243"/>
            </w:pPr>
            <w:r>
              <w:t>documents such as letters, memoranda, reports, handbooks, directives, manuals, briefings</w:t>
            </w:r>
            <w:r w:rsidR="00A85E98">
              <w:t>,</w:t>
            </w:r>
            <w:r>
              <w:t xml:space="preserve"> or presentations created on office applications, including </w:t>
            </w:r>
            <w:r w:rsidR="001F018F">
              <w:t xml:space="preserve">those in </w:t>
            </w:r>
            <w:r>
              <w:t>Portable Document Format (PDF) or its equivalent</w:t>
            </w:r>
          </w:p>
          <w:p w14:paraId="2AE85112" w14:textId="749407F1" w:rsidR="00CC51F5" w:rsidRDefault="00CC51F5" w:rsidP="00C9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5" w:hanging="243"/>
            </w:pPr>
            <w:r>
              <w:t>senders’ and recipients’ versions of electronic mail messages that meet the definition of Federal records</w:t>
            </w:r>
            <w:r w:rsidR="00A85E98">
              <w:t>,</w:t>
            </w:r>
            <w:r>
              <w:t xml:space="preserve"> and any related attachments</w:t>
            </w:r>
          </w:p>
          <w:p w14:paraId="012FD7A5" w14:textId="00385E49" w:rsidR="00CC51F5" w:rsidRDefault="00CC51F5" w:rsidP="00C9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5" w:hanging="243"/>
            </w:pPr>
            <w:r>
              <w:t>electronic spreadsheets</w:t>
            </w:r>
          </w:p>
          <w:p w14:paraId="0D85C919" w14:textId="452FF0A0" w:rsidR="007661A0" w:rsidRDefault="007661A0" w:rsidP="00C9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5" w:hanging="243"/>
            </w:pPr>
            <w:r>
              <w:t>digital still pictures or posters</w:t>
            </w:r>
          </w:p>
          <w:p w14:paraId="79667ECA" w14:textId="097EE86E" w:rsidR="007661A0" w:rsidRDefault="00CC51F5" w:rsidP="00C9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5" w:hanging="243"/>
            </w:pPr>
            <w:r>
              <w:t>digital video or audio files</w:t>
            </w:r>
          </w:p>
          <w:p w14:paraId="59937E8A" w14:textId="41B59FE2" w:rsidR="00CC51F5" w:rsidRDefault="00CC51F5" w:rsidP="00C9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5" w:hanging="243"/>
            </w:pPr>
            <w:r>
              <w:t>digital maps or architectural drawings</w:t>
            </w:r>
          </w:p>
          <w:p w14:paraId="1600D134" w14:textId="1C90A046" w:rsidR="00A26F9E" w:rsidRDefault="00CC51F5" w:rsidP="00C96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5" w:hanging="243"/>
            </w:pPr>
            <w:r>
              <w:t>copies of the above electronic records maintained on websites or web servers, but EXCLUDING web pages themselves</w:t>
            </w:r>
          </w:p>
          <w:p w14:paraId="7361644F" w14:textId="77777777" w:rsidR="00CC51F5" w:rsidRDefault="00CC51F5" w:rsidP="00CC51F5">
            <w:pPr>
              <w:spacing w:after="0" w:line="240" w:lineRule="auto"/>
              <w:ind w:left="150"/>
            </w:pPr>
          </w:p>
          <w:p w14:paraId="2CC03D74" w14:textId="0E9B3CF0" w:rsidR="002F0390" w:rsidRPr="006B4F66" w:rsidRDefault="002F0390" w:rsidP="00CC51F5">
            <w:pPr>
              <w:spacing w:after="0" w:line="240" w:lineRule="auto"/>
              <w:ind w:left="335"/>
              <w:rPr>
                <w:color w:val="auto"/>
              </w:rPr>
            </w:pPr>
            <w:r w:rsidRPr="006B4F66">
              <w:rPr>
                <w:b/>
                <w:color w:val="auto"/>
              </w:rPr>
              <w:t>Note 1:</w:t>
            </w:r>
            <w:r w:rsidRPr="006B4F66">
              <w:rPr>
                <w:color w:val="auto"/>
              </w:rPr>
              <w:t xml:space="preserve"> </w:t>
            </w:r>
            <w:r w:rsidR="001F018F">
              <w:rPr>
                <w:color w:val="auto"/>
              </w:rPr>
              <w:t xml:space="preserve">Non-recordkeeping copies </w:t>
            </w:r>
            <w:r w:rsidR="008159C4">
              <w:rPr>
                <w:color w:val="auto"/>
              </w:rPr>
              <w:t>may be</w:t>
            </w:r>
            <w:r w:rsidR="001F018F">
              <w:rPr>
                <w:color w:val="auto"/>
              </w:rPr>
              <w:t xml:space="preserve"> Federal records.  Often,</w:t>
            </w:r>
            <w:r w:rsidRPr="006B4F66">
              <w:rPr>
                <w:color w:val="auto"/>
              </w:rPr>
              <w:t xml:space="preserve"> copies are non-record</w:t>
            </w:r>
            <w:r w:rsidR="001F018F">
              <w:rPr>
                <w:color w:val="auto"/>
              </w:rPr>
              <w:t>s</w:t>
            </w:r>
            <w:r w:rsidR="008159C4">
              <w:rPr>
                <w:color w:val="auto"/>
              </w:rPr>
              <w:t xml:space="preserve"> and can be immediately destroyed</w:t>
            </w:r>
            <w:r w:rsidR="001F018F">
              <w:rPr>
                <w:color w:val="auto"/>
              </w:rPr>
              <w:t>, but not always</w:t>
            </w:r>
            <w:r w:rsidRPr="006B4F66">
              <w:rPr>
                <w:color w:val="auto"/>
              </w:rPr>
              <w:t>. Copies are non-record if they are kept onl</w:t>
            </w:r>
            <w:r w:rsidR="00CC51F5" w:rsidRPr="006B4F66">
              <w:rPr>
                <w:color w:val="auto"/>
              </w:rPr>
              <w:t xml:space="preserve">y for convenience of reference.  </w:t>
            </w:r>
            <w:r w:rsidRPr="006B4F66">
              <w:rPr>
                <w:color w:val="auto"/>
              </w:rPr>
              <w:t xml:space="preserve">If copies are used </w:t>
            </w:r>
            <w:proofErr w:type="gramStart"/>
            <w:r w:rsidRPr="006B4F66">
              <w:rPr>
                <w:color w:val="auto"/>
              </w:rPr>
              <w:t>in the course of</w:t>
            </w:r>
            <w:proofErr w:type="gramEnd"/>
            <w:r w:rsidRPr="006B4F66">
              <w:rPr>
                <w:color w:val="auto"/>
              </w:rPr>
              <w:t xml:space="preserve"> agency business to make decisions or take ac</w:t>
            </w:r>
            <w:r w:rsidR="00CC51F5" w:rsidRPr="006B4F66">
              <w:rPr>
                <w:color w:val="auto"/>
              </w:rPr>
              <w:t>tion</w:t>
            </w:r>
            <w:r w:rsidR="008159C4">
              <w:rPr>
                <w:color w:val="auto"/>
              </w:rPr>
              <w:t>,</w:t>
            </w:r>
            <w:r w:rsidR="00CC51F5" w:rsidRPr="006B4F66">
              <w:rPr>
                <w:color w:val="auto"/>
              </w:rPr>
              <w:t xml:space="preserve"> they are </w:t>
            </w:r>
            <w:r w:rsidR="001F018F">
              <w:rPr>
                <w:color w:val="auto"/>
              </w:rPr>
              <w:t>F</w:t>
            </w:r>
            <w:r w:rsidR="00CC51F5" w:rsidRPr="006B4F66">
              <w:rPr>
                <w:color w:val="auto"/>
              </w:rPr>
              <w:t>ederal record</w:t>
            </w:r>
            <w:r w:rsidR="001F018F">
              <w:rPr>
                <w:color w:val="auto"/>
              </w:rPr>
              <w:t>s</w:t>
            </w:r>
            <w:r w:rsidR="00CC51F5" w:rsidRPr="006B4F66">
              <w:rPr>
                <w:color w:val="auto"/>
              </w:rPr>
              <w:t xml:space="preserve">.  </w:t>
            </w:r>
            <w:r w:rsidRPr="006B4F66">
              <w:rPr>
                <w:color w:val="auto"/>
              </w:rPr>
              <w:t xml:space="preserve">The </w:t>
            </w:r>
            <w:r w:rsidR="008159C4">
              <w:rPr>
                <w:color w:val="auto"/>
              </w:rPr>
              <w:t>copies</w:t>
            </w:r>
            <w:r w:rsidR="008159C4" w:rsidRPr="006B4F66">
              <w:rPr>
                <w:color w:val="auto"/>
              </w:rPr>
              <w:t xml:space="preserve"> </w:t>
            </w:r>
            <w:r w:rsidRPr="006B4F66">
              <w:rPr>
                <w:color w:val="auto"/>
              </w:rPr>
              <w:t>described here are</w:t>
            </w:r>
            <w:r w:rsidR="001F018F">
              <w:rPr>
                <w:color w:val="auto"/>
              </w:rPr>
              <w:t xml:space="preserve"> Federal </w:t>
            </w:r>
            <w:r w:rsidRPr="006B4F66">
              <w:rPr>
                <w:color w:val="auto"/>
              </w:rPr>
              <w:t>records</w:t>
            </w:r>
            <w:r w:rsidR="001F018F">
              <w:rPr>
                <w:color w:val="auto"/>
              </w:rPr>
              <w:t xml:space="preserve"> </w:t>
            </w:r>
            <w:r w:rsidR="008159C4">
              <w:rPr>
                <w:color w:val="auto"/>
              </w:rPr>
              <w:t>if</w:t>
            </w:r>
            <w:r w:rsidR="001F018F">
              <w:rPr>
                <w:color w:val="auto"/>
              </w:rPr>
              <w:t xml:space="preserve"> they are still</w:t>
            </w:r>
            <w:r w:rsidR="008159C4">
              <w:rPr>
                <w:color w:val="auto"/>
              </w:rPr>
              <w:t xml:space="preserve"> being used by the agency for such business </w:t>
            </w:r>
            <w:proofErr w:type="gramStart"/>
            <w:r w:rsidR="008159C4">
              <w:rPr>
                <w:color w:val="auto"/>
              </w:rPr>
              <w:t>purposes</w:t>
            </w:r>
            <w:r w:rsidRPr="006B4F66">
              <w:rPr>
                <w:color w:val="auto"/>
              </w:rPr>
              <w:t>, but</w:t>
            </w:r>
            <w:proofErr w:type="gramEnd"/>
            <w:r w:rsidRPr="006B4F66">
              <w:rPr>
                <w:color w:val="auto"/>
              </w:rPr>
              <w:t xml:space="preserve"> </w:t>
            </w:r>
            <w:r w:rsidR="008159C4">
              <w:rPr>
                <w:color w:val="auto"/>
              </w:rPr>
              <w:t xml:space="preserve">are </w:t>
            </w:r>
            <w:r w:rsidRPr="006B4F66">
              <w:rPr>
                <w:color w:val="auto"/>
              </w:rPr>
              <w:t>not recordkeeping copies of those records.</w:t>
            </w:r>
          </w:p>
          <w:p w14:paraId="6A8C3266" w14:textId="77777777" w:rsidR="005A4B3B" w:rsidRDefault="005A4B3B">
            <w:pPr>
              <w:spacing w:after="0" w:line="240" w:lineRule="auto"/>
              <w:ind w:left="335"/>
            </w:pPr>
          </w:p>
          <w:p w14:paraId="518E9A77" w14:textId="0A7DBCD5" w:rsidR="00A26F9E" w:rsidRDefault="00A26F9E" w:rsidP="007E4B96">
            <w:pPr>
              <w:spacing w:after="0" w:line="240" w:lineRule="auto"/>
              <w:ind w:left="335"/>
            </w:pPr>
            <w:r>
              <w:rPr>
                <w:b/>
              </w:rPr>
              <w:t>Note</w:t>
            </w:r>
            <w:r w:rsidR="005A4B3B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  <w:r>
              <w:t xml:space="preserve"> For electronic </w:t>
            </w:r>
            <w:r w:rsidR="00246FA5">
              <w:t>mail</w:t>
            </w:r>
            <w:r>
              <w:t xml:space="preserve"> records</w:t>
            </w:r>
            <w:r w:rsidR="008159C4">
              <w:t>,</w:t>
            </w:r>
            <w:r>
              <w:t xml:space="preserve"> the recordkeeping system must capture the names of sender and recipients</w:t>
            </w:r>
            <w:r w:rsidR="008159C4">
              <w:t xml:space="preserve">, </w:t>
            </w:r>
            <w:r>
              <w:t>date (transmission data for recordkeeping purposes)</w:t>
            </w:r>
            <w:r w:rsidR="008159C4">
              <w:t>,</w:t>
            </w:r>
            <w:r>
              <w:t xml:space="preserve"> and any receipt data</w:t>
            </w:r>
            <w:r w:rsidR="00792631">
              <w:t xml:space="preserve">, </w:t>
            </w:r>
            <w:r>
              <w:t>along with the message text. Sender/recipient information should be individual account information, not the name of a distribution list.</w:t>
            </w:r>
          </w:p>
        </w:tc>
        <w:tc>
          <w:tcPr>
            <w:tcW w:w="1800" w:type="dxa"/>
          </w:tcPr>
          <w:p w14:paraId="5E1D0D63" w14:textId="77B64271" w:rsidR="006B4F66" w:rsidRDefault="00A26F9E" w:rsidP="006B4F66">
            <w:pPr>
              <w:spacing w:after="0" w:line="240" w:lineRule="auto"/>
            </w:pPr>
            <w:r>
              <w:rPr>
                <w:b/>
              </w:rPr>
              <w:t>Temporary.</w:t>
            </w:r>
            <w:r>
              <w:t xml:space="preserve"> </w:t>
            </w:r>
            <w:r w:rsidR="006B4F66">
              <w:t>Destroy immediately after copying to a recordkeeping system or</w:t>
            </w:r>
          </w:p>
          <w:p w14:paraId="715FAA34" w14:textId="38EB0586" w:rsidR="006B4F66" w:rsidRDefault="00091B3F" w:rsidP="006B4F66">
            <w:pPr>
              <w:spacing w:after="0" w:line="240" w:lineRule="auto"/>
            </w:pPr>
            <w:r>
              <w:t>o</w:t>
            </w:r>
            <w:r w:rsidR="006B4F66">
              <w:t>therwise preserving, but longer retention</w:t>
            </w:r>
          </w:p>
          <w:p w14:paraId="3ACF3617" w14:textId="43CFA769" w:rsidR="00A26F9E" w:rsidRDefault="006B4F66" w:rsidP="006B4F66">
            <w:pPr>
              <w:spacing w:after="0" w:line="240" w:lineRule="auto"/>
            </w:pPr>
            <w:r>
              <w:t>is authorized if required for business use.</w:t>
            </w:r>
          </w:p>
        </w:tc>
        <w:tc>
          <w:tcPr>
            <w:tcW w:w="1350" w:type="dxa"/>
          </w:tcPr>
          <w:p w14:paraId="3A5AE09B" w14:textId="5282C81A" w:rsidR="00A26F9E" w:rsidRDefault="00254EC0" w:rsidP="007B786E">
            <w:pPr>
              <w:spacing w:after="0" w:line="240" w:lineRule="auto"/>
            </w:pPr>
            <w:r>
              <w:t>DAA-GRS-2016</w:t>
            </w:r>
            <w:r w:rsidR="00A26F9E">
              <w:t>-</w:t>
            </w:r>
            <w:r>
              <w:t>0016</w:t>
            </w:r>
            <w:r w:rsidR="00A26F9E">
              <w:t>-000</w:t>
            </w:r>
            <w:r w:rsidR="007B786E">
              <w:t>2</w:t>
            </w:r>
          </w:p>
        </w:tc>
      </w:tr>
      <w:tr w:rsidR="00680D32" w14:paraId="60244472" w14:textId="77777777" w:rsidTr="000D6929">
        <w:tc>
          <w:tcPr>
            <w:tcW w:w="715" w:type="dxa"/>
          </w:tcPr>
          <w:p w14:paraId="1D6F8E9F" w14:textId="7814D358" w:rsidR="00680D32" w:rsidRDefault="00680D32">
            <w:pPr>
              <w:spacing w:after="0" w:line="240" w:lineRule="auto"/>
              <w:jc w:val="center"/>
            </w:pPr>
            <w:r>
              <w:t>030</w:t>
            </w:r>
          </w:p>
        </w:tc>
        <w:tc>
          <w:tcPr>
            <w:tcW w:w="10530" w:type="dxa"/>
          </w:tcPr>
          <w:p w14:paraId="0490BB1F" w14:textId="77777777" w:rsidR="00680D32" w:rsidRDefault="00680D32" w:rsidP="00680D32">
            <w:pPr>
              <w:spacing w:after="0" w:line="240" w:lineRule="auto"/>
            </w:pPr>
            <w:r>
              <w:rPr>
                <w:b/>
              </w:rPr>
              <w:t>Records of non-mission related internal agency committees.</w:t>
            </w:r>
          </w:p>
          <w:p w14:paraId="1CA717DE" w14:textId="3859C7F4" w:rsidR="00680D32" w:rsidRDefault="00680D32" w:rsidP="003E7CD5">
            <w:pPr>
              <w:spacing w:after="0" w:line="240" w:lineRule="auto"/>
              <w:ind w:left="330"/>
            </w:pPr>
            <w:r>
              <w:t>Records created and maintained by committees established by an agency for facilitative or operational purposes unrelated to the agency’s mission, such as organizing events, selecting interior furnishings, overseeing volunteer activities</w:t>
            </w:r>
            <w:r w:rsidR="00485468">
              <w:t>,</w:t>
            </w:r>
            <w:r>
              <w:t xml:space="preserve"> or employee recreational activities.</w:t>
            </w:r>
            <w:r w:rsidR="003E7CD5">
              <w:t xml:space="preserve"> </w:t>
            </w:r>
            <w:r>
              <w:t>Records include:</w:t>
            </w:r>
          </w:p>
          <w:p w14:paraId="514B67F4" w14:textId="77777777" w:rsidR="00680D32" w:rsidRDefault="00680D32" w:rsidP="00C964F5">
            <w:pPr>
              <w:numPr>
                <w:ilvl w:val="0"/>
                <w:numId w:val="9"/>
              </w:numPr>
              <w:spacing w:after="0" w:line="240" w:lineRule="auto"/>
              <w:ind w:left="605" w:hanging="270"/>
              <w:contextualSpacing/>
            </w:pPr>
            <w:r>
              <w:t xml:space="preserve">meeting minutes, summaries, agendas, and transcripts </w:t>
            </w:r>
          </w:p>
          <w:p w14:paraId="54DFE058" w14:textId="77777777" w:rsidR="00680D32" w:rsidRDefault="00680D32" w:rsidP="00C964F5">
            <w:pPr>
              <w:numPr>
                <w:ilvl w:val="0"/>
                <w:numId w:val="9"/>
              </w:numPr>
              <w:spacing w:after="0" w:line="240" w:lineRule="auto"/>
              <w:ind w:left="605" w:hanging="270"/>
              <w:contextualSpacing/>
            </w:pPr>
            <w:r>
              <w:lastRenderedPageBreak/>
              <w:t>reports and studies</w:t>
            </w:r>
          </w:p>
          <w:p w14:paraId="2BAE6E9B" w14:textId="77777777" w:rsidR="00680D32" w:rsidRDefault="00680D32" w:rsidP="00C964F5">
            <w:pPr>
              <w:numPr>
                <w:ilvl w:val="0"/>
                <w:numId w:val="9"/>
              </w:numPr>
              <w:spacing w:after="0" w:line="240" w:lineRule="auto"/>
              <w:ind w:left="605" w:hanging="270"/>
              <w:contextualSpacing/>
            </w:pPr>
            <w:r>
              <w:t>membership records</w:t>
            </w:r>
          </w:p>
          <w:p w14:paraId="5DD5F398" w14:textId="77777777" w:rsidR="00680D32" w:rsidRDefault="00680D32" w:rsidP="00C964F5">
            <w:pPr>
              <w:numPr>
                <w:ilvl w:val="0"/>
                <w:numId w:val="9"/>
              </w:numPr>
              <w:spacing w:after="0" w:line="240" w:lineRule="auto"/>
              <w:ind w:left="605" w:hanging="270"/>
              <w:contextualSpacing/>
            </w:pPr>
            <w:r>
              <w:t xml:space="preserve">correspondence, mailing, and distribution records </w:t>
            </w:r>
          </w:p>
          <w:p w14:paraId="73EEEC67" w14:textId="77777777" w:rsidR="00680D32" w:rsidRDefault="00680D32" w:rsidP="00680D32">
            <w:pPr>
              <w:spacing w:after="0" w:line="240" w:lineRule="auto"/>
            </w:pPr>
          </w:p>
          <w:p w14:paraId="2FF0119F" w14:textId="44D11230" w:rsidR="00680D32" w:rsidRDefault="00680D32" w:rsidP="00680D32">
            <w:pPr>
              <w:spacing w:after="0" w:line="240" w:lineRule="auto"/>
              <w:ind w:left="331"/>
            </w:pPr>
            <w:r>
              <w:rPr>
                <w:b/>
              </w:rPr>
              <w:t xml:space="preserve">Exclusion: </w:t>
            </w:r>
            <w:r>
              <w:t xml:space="preserve">These items do not cover records of </w:t>
            </w:r>
            <w:r w:rsidR="00485468">
              <w:t xml:space="preserve">Federal Advisory Committee Act or </w:t>
            </w:r>
            <w:r>
              <w:t>interagency committees.</w:t>
            </w:r>
            <w:r w:rsidR="003463C5">
              <w:t xml:space="preserve"> GRS 6.2 covers Federal Advisory Committee Act committee records.</w:t>
            </w:r>
          </w:p>
          <w:p w14:paraId="27E0D150" w14:textId="77777777" w:rsidR="00680D32" w:rsidRDefault="00680D32" w:rsidP="00680D32">
            <w:pPr>
              <w:spacing w:after="0" w:line="240" w:lineRule="auto"/>
              <w:ind w:left="331"/>
            </w:pPr>
          </w:p>
          <w:p w14:paraId="5BBF3464" w14:textId="59E55F61" w:rsidR="00680D32" w:rsidRPr="007E4B96" w:rsidRDefault="00680D32" w:rsidP="007E4B96">
            <w:pPr>
              <w:spacing w:after="0" w:line="240" w:lineRule="auto"/>
              <w:ind w:left="331"/>
            </w:pPr>
            <w:r>
              <w:rPr>
                <w:b/>
              </w:rPr>
              <w:t xml:space="preserve">Note: </w:t>
            </w:r>
            <w:r>
              <w:t xml:space="preserve">Records of mission-related committees </w:t>
            </w:r>
            <w:r w:rsidRPr="000A07AD">
              <w:t xml:space="preserve">are potentially </w:t>
            </w:r>
            <w:proofErr w:type="gramStart"/>
            <w:r w:rsidRPr="000A07AD">
              <w:t>permanent</w:t>
            </w:r>
            <w:proofErr w:type="gramEnd"/>
            <w:r w:rsidRPr="000A07AD">
              <w:t xml:space="preserve"> and </w:t>
            </w:r>
            <w:r w:rsidR="00485468">
              <w:t xml:space="preserve">agencies </w:t>
            </w:r>
            <w:r w:rsidRPr="000A07AD">
              <w:t xml:space="preserve">must schedule </w:t>
            </w:r>
            <w:r w:rsidR="00485468">
              <w:t xml:space="preserve">them </w:t>
            </w:r>
            <w:r>
              <w:t>by an agency-specific records schedule.</w:t>
            </w:r>
          </w:p>
        </w:tc>
        <w:tc>
          <w:tcPr>
            <w:tcW w:w="1800" w:type="dxa"/>
          </w:tcPr>
          <w:p w14:paraId="5149B6DF" w14:textId="314C43CF" w:rsidR="00680D32" w:rsidRDefault="00680D32" w:rsidP="006B4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Temporary. </w:t>
            </w:r>
            <w:r>
              <w:t>Destroy when business use ceases.</w:t>
            </w:r>
          </w:p>
        </w:tc>
        <w:tc>
          <w:tcPr>
            <w:tcW w:w="1350" w:type="dxa"/>
          </w:tcPr>
          <w:p w14:paraId="13F95AFC" w14:textId="216F4A7F" w:rsidR="00680D32" w:rsidRDefault="00680D32" w:rsidP="007B786E">
            <w:pPr>
              <w:spacing w:after="0" w:line="240" w:lineRule="auto"/>
            </w:pPr>
            <w:r>
              <w:t>DAA-GRS-20</w:t>
            </w:r>
            <w:r w:rsidR="00254EC0">
              <w:t>16</w:t>
            </w:r>
            <w:r>
              <w:t>-</w:t>
            </w:r>
            <w:r w:rsidR="00254EC0">
              <w:t>0016</w:t>
            </w:r>
            <w:r>
              <w:t>-0003</w:t>
            </w:r>
          </w:p>
        </w:tc>
      </w:tr>
    </w:tbl>
    <w:p w14:paraId="5B2DCD39" w14:textId="77777777" w:rsidR="00917CB7" w:rsidRDefault="00917CB7">
      <w:pPr>
        <w:spacing w:after="0" w:line="240" w:lineRule="auto"/>
      </w:pPr>
    </w:p>
    <w:sectPr w:rsidR="00917CB7" w:rsidSect="00991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720" w:bottom="1440" w:left="720" w:header="720" w:footer="0" w:gutter="0"/>
      <w:pgNumType w:start="9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EA87" w14:textId="77777777" w:rsidR="00BD57B9" w:rsidRDefault="00BD57B9">
      <w:pPr>
        <w:spacing w:after="0" w:line="240" w:lineRule="auto"/>
      </w:pPr>
      <w:r>
        <w:separator/>
      </w:r>
    </w:p>
  </w:endnote>
  <w:endnote w:type="continuationSeparator" w:id="0">
    <w:p w14:paraId="758C3ED7" w14:textId="77777777" w:rsidR="00BD57B9" w:rsidRDefault="00BD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D1FB" w14:textId="77777777" w:rsidR="00991DD1" w:rsidRDefault="00991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15BE" w14:textId="3E6A180E" w:rsidR="00917CB7" w:rsidRDefault="00917CB7">
    <w:pP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EA3A" w14:textId="77777777" w:rsidR="00917CB7" w:rsidRDefault="00D16FDB">
    <w:pPr>
      <w:tabs>
        <w:tab w:val="center" w:pos="4680"/>
        <w:tab w:val="right" w:pos="9360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CCA8CB0" w14:textId="77777777" w:rsidR="00917CB7" w:rsidRDefault="00917CB7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A13E" w14:textId="77777777" w:rsidR="00BD57B9" w:rsidRDefault="00BD57B9">
      <w:pPr>
        <w:spacing w:after="0" w:line="240" w:lineRule="auto"/>
      </w:pPr>
      <w:r>
        <w:separator/>
      </w:r>
    </w:p>
  </w:footnote>
  <w:footnote w:type="continuationSeparator" w:id="0">
    <w:p w14:paraId="2361D2A2" w14:textId="77777777" w:rsidR="00BD57B9" w:rsidRDefault="00BD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8678" w14:textId="77777777" w:rsidR="00991DD1" w:rsidRDefault="00991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4505" w14:textId="1DE65F94" w:rsidR="009A2316" w:rsidRPr="00A31178" w:rsidRDefault="00991DD1" w:rsidP="009A2316">
    <w:pPr>
      <w:pStyle w:val="Header"/>
      <w:tabs>
        <w:tab w:val="clear" w:pos="9360"/>
        <w:tab w:val="right" w:pos="1440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Last updated in </w:t>
    </w:r>
    <w:r w:rsidR="009A2316" w:rsidRPr="00A31178">
      <w:rPr>
        <w:b/>
        <w:bCs/>
        <w:sz w:val="20"/>
        <w:szCs w:val="20"/>
      </w:rPr>
      <w:t>Transmittal No. 2</w:t>
    </w:r>
    <w:r w:rsidR="009A2316">
      <w:rPr>
        <w:b/>
        <w:bCs/>
        <w:sz w:val="20"/>
        <w:szCs w:val="20"/>
      </w:rPr>
      <w:t>8</w:t>
    </w:r>
    <w:r w:rsidR="009A2316" w:rsidRPr="00A31178">
      <w:rPr>
        <w:b/>
        <w:bCs/>
        <w:sz w:val="20"/>
        <w:szCs w:val="20"/>
      </w:rPr>
      <w:tab/>
    </w:r>
    <w:r w:rsidR="009A2316" w:rsidRPr="00A31178">
      <w:rPr>
        <w:b/>
        <w:bCs/>
        <w:sz w:val="20"/>
        <w:szCs w:val="20"/>
      </w:rPr>
      <w:tab/>
      <w:t>General Records Schedule</w:t>
    </w:r>
    <w:r w:rsidR="009A2316">
      <w:rPr>
        <w:b/>
        <w:bCs/>
        <w:sz w:val="20"/>
        <w:szCs w:val="20"/>
      </w:rPr>
      <w:t xml:space="preserve"> 5.1</w:t>
    </w:r>
  </w:p>
  <w:p w14:paraId="7C90C7D4" w14:textId="1A82F653" w:rsidR="00917CB7" w:rsidRPr="009A2316" w:rsidRDefault="009A2316" w:rsidP="009A2316">
    <w:pPr>
      <w:pStyle w:val="Header"/>
      <w:tabs>
        <w:tab w:val="right" w:pos="1440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July</w:t>
    </w:r>
    <w:r w:rsidRPr="00B43268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2A7E" w14:textId="6EFA4B1E" w:rsidR="009A2316" w:rsidRPr="00A31178" w:rsidRDefault="009A2316" w:rsidP="009A2316">
    <w:pPr>
      <w:pStyle w:val="Header"/>
      <w:tabs>
        <w:tab w:val="clear" w:pos="9360"/>
        <w:tab w:val="right" w:pos="14400"/>
      </w:tabs>
      <w:rPr>
        <w:b/>
        <w:bCs/>
        <w:sz w:val="20"/>
        <w:szCs w:val="20"/>
      </w:rPr>
    </w:pPr>
    <w:r w:rsidRPr="00A31178">
      <w:rPr>
        <w:b/>
        <w:bCs/>
        <w:sz w:val="20"/>
        <w:szCs w:val="20"/>
      </w:rPr>
      <w:t>Transmittal No. 2</w:t>
    </w:r>
    <w:r>
      <w:rPr>
        <w:b/>
        <w:bCs/>
        <w:sz w:val="20"/>
        <w:szCs w:val="20"/>
      </w:rPr>
      <w:t>8</w:t>
    </w:r>
    <w:r w:rsidRPr="00A31178">
      <w:rPr>
        <w:b/>
        <w:bCs/>
        <w:sz w:val="20"/>
        <w:szCs w:val="20"/>
      </w:rPr>
      <w:tab/>
    </w:r>
    <w:r w:rsidRPr="00A31178">
      <w:rPr>
        <w:b/>
        <w:bCs/>
        <w:sz w:val="20"/>
        <w:szCs w:val="20"/>
      </w:rPr>
      <w:tab/>
      <w:t>General Records Schedule</w:t>
    </w:r>
    <w:r>
      <w:rPr>
        <w:b/>
        <w:bCs/>
        <w:sz w:val="20"/>
        <w:szCs w:val="20"/>
      </w:rPr>
      <w:t xml:space="preserve"> 5.1</w:t>
    </w:r>
  </w:p>
  <w:p w14:paraId="2DD6DF91" w14:textId="77777777" w:rsidR="009A2316" w:rsidRDefault="009A2316" w:rsidP="009A2316">
    <w:pPr>
      <w:pStyle w:val="Header"/>
      <w:tabs>
        <w:tab w:val="right" w:pos="1440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July</w:t>
    </w:r>
    <w:r w:rsidRPr="00B43268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2017</w:t>
    </w:r>
  </w:p>
  <w:p w14:paraId="3B7E7A8E" w14:textId="0ACB7678" w:rsidR="007D2562" w:rsidRDefault="007D2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E13"/>
    <w:multiLevelType w:val="multilevel"/>
    <w:tmpl w:val="D5825BCA"/>
    <w:lvl w:ilvl="0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0E302DD"/>
    <w:multiLevelType w:val="multilevel"/>
    <w:tmpl w:val="EF9A8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AD44390"/>
    <w:multiLevelType w:val="multilevel"/>
    <w:tmpl w:val="4A96AA7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2DF95FE2"/>
    <w:multiLevelType w:val="multilevel"/>
    <w:tmpl w:val="51F496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12906B5"/>
    <w:multiLevelType w:val="multilevel"/>
    <w:tmpl w:val="E0B89E7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49F74673"/>
    <w:multiLevelType w:val="multilevel"/>
    <w:tmpl w:val="51F496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CBB68A9"/>
    <w:multiLevelType w:val="multilevel"/>
    <w:tmpl w:val="E0722AD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E243181"/>
    <w:multiLevelType w:val="multilevel"/>
    <w:tmpl w:val="C1100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6FC23B94"/>
    <w:multiLevelType w:val="hybridMultilevel"/>
    <w:tmpl w:val="B4E2EFC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675690418">
    <w:abstractNumId w:val="1"/>
  </w:num>
  <w:num w:numId="2" w16cid:durableId="1631548977">
    <w:abstractNumId w:val="4"/>
  </w:num>
  <w:num w:numId="3" w16cid:durableId="1590577369">
    <w:abstractNumId w:val="7"/>
  </w:num>
  <w:num w:numId="4" w16cid:durableId="1505629071">
    <w:abstractNumId w:val="3"/>
  </w:num>
  <w:num w:numId="5" w16cid:durableId="620495710">
    <w:abstractNumId w:val="0"/>
  </w:num>
  <w:num w:numId="6" w16cid:durableId="2030789433">
    <w:abstractNumId w:val="5"/>
  </w:num>
  <w:num w:numId="7" w16cid:durableId="2117406432">
    <w:abstractNumId w:val="8"/>
  </w:num>
  <w:num w:numId="8" w16cid:durableId="1539733284">
    <w:abstractNumId w:val="2"/>
  </w:num>
  <w:num w:numId="9" w16cid:durableId="135034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B7"/>
    <w:rsid w:val="000417AA"/>
    <w:rsid w:val="00091B3F"/>
    <w:rsid w:val="000A07AD"/>
    <w:rsid w:val="000C19C7"/>
    <w:rsid w:val="000D6929"/>
    <w:rsid w:val="000F3173"/>
    <w:rsid w:val="00124E64"/>
    <w:rsid w:val="00185BB5"/>
    <w:rsid w:val="0018685A"/>
    <w:rsid w:val="001A55C1"/>
    <w:rsid w:val="001E54A1"/>
    <w:rsid w:val="001F018F"/>
    <w:rsid w:val="002233D7"/>
    <w:rsid w:val="00227191"/>
    <w:rsid w:val="00246FA5"/>
    <w:rsid w:val="00251EBC"/>
    <w:rsid w:val="00254EC0"/>
    <w:rsid w:val="002B01ED"/>
    <w:rsid w:val="002B6F3B"/>
    <w:rsid w:val="002C22C7"/>
    <w:rsid w:val="002D1C6F"/>
    <w:rsid w:val="002F0390"/>
    <w:rsid w:val="00320AC0"/>
    <w:rsid w:val="003463C5"/>
    <w:rsid w:val="00373DAC"/>
    <w:rsid w:val="00375576"/>
    <w:rsid w:val="00380AEE"/>
    <w:rsid w:val="00380CCB"/>
    <w:rsid w:val="00381BDF"/>
    <w:rsid w:val="00386B90"/>
    <w:rsid w:val="003B0E2A"/>
    <w:rsid w:val="003C6A54"/>
    <w:rsid w:val="003E013A"/>
    <w:rsid w:val="003E7CD5"/>
    <w:rsid w:val="004013F7"/>
    <w:rsid w:val="00402225"/>
    <w:rsid w:val="00410F23"/>
    <w:rsid w:val="00471D86"/>
    <w:rsid w:val="00485468"/>
    <w:rsid w:val="004D62F3"/>
    <w:rsid w:val="004E0C2F"/>
    <w:rsid w:val="004E502C"/>
    <w:rsid w:val="004E6C6C"/>
    <w:rsid w:val="0054433E"/>
    <w:rsid w:val="005502C2"/>
    <w:rsid w:val="00550304"/>
    <w:rsid w:val="005577F2"/>
    <w:rsid w:val="005A4B3B"/>
    <w:rsid w:val="005C40F6"/>
    <w:rsid w:val="005D0A13"/>
    <w:rsid w:val="005D7F3E"/>
    <w:rsid w:val="005F1509"/>
    <w:rsid w:val="0065083E"/>
    <w:rsid w:val="00654AAC"/>
    <w:rsid w:val="00680D32"/>
    <w:rsid w:val="006B4F66"/>
    <w:rsid w:val="006B7CEC"/>
    <w:rsid w:val="006D2E9A"/>
    <w:rsid w:val="007046F8"/>
    <w:rsid w:val="00723E41"/>
    <w:rsid w:val="00747C7A"/>
    <w:rsid w:val="007541CA"/>
    <w:rsid w:val="00765E3D"/>
    <w:rsid w:val="007661A0"/>
    <w:rsid w:val="00776FB5"/>
    <w:rsid w:val="00792631"/>
    <w:rsid w:val="007B786E"/>
    <w:rsid w:val="007D2562"/>
    <w:rsid w:val="007E4B96"/>
    <w:rsid w:val="007F547D"/>
    <w:rsid w:val="008159C4"/>
    <w:rsid w:val="00860E6B"/>
    <w:rsid w:val="008E1350"/>
    <w:rsid w:val="00905378"/>
    <w:rsid w:val="00917CB7"/>
    <w:rsid w:val="00917CE2"/>
    <w:rsid w:val="0095791E"/>
    <w:rsid w:val="00991DD1"/>
    <w:rsid w:val="00996AAF"/>
    <w:rsid w:val="009A2316"/>
    <w:rsid w:val="009C2FC2"/>
    <w:rsid w:val="009D68C4"/>
    <w:rsid w:val="009F5F98"/>
    <w:rsid w:val="00A00ABB"/>
    <w:rsid w:val="00A05D29"/>
    <w:rsid w:val="00A26F9E"/>
    <w:rsid w:val="00A3474C"/>
    <w:rsid w:val="00A83FF1"/>
    <w:rsid w:val="00A85E98"/>
    <w:rsid w:val="00A924F4"/>
    <w:rsid w:val="00AE3121"/>
    <w:rsid w:val="00AF1EA3"/>
    <w:rsid w:val="00AF602F"/>
    <w:rsid w:val="00BB6296"/>
    <w:rsid w:val="00BD57B9"/>
    <w:rsid w:val="00C714DC"/>
    <w:rsid w:val="00C92834"/>
    <w:rsid w:val="00C964F5"/>
    <w:rsid w:val="00CC0429"/>
    <w:rsid w:val="00CC51F5"/>
    <w:rsid w:val="00CE4FFE"/>
    <w:rsid w:val="00D03C5B"/>
    <w:rsid w:val="00D04D58"/>
    <w:rsid w:val="00D16FDB"/>
    <w:rsid w:val="00DB2BA4"/>
    <w:rsid w:val="00DD59A3"/>
    <w:rsid w:val="00E42784"/>
    <w:rsid w:val="00E629DC"/>
    <w:rsid w:val="00E85A16"/>
    <w:rsid w:val="00F075FB"/>
    <w:rsid w:val="00F22A4A"/>
    <w:rsid w:val="00F80C65"/>
    <w:rsid w:val="00F82940"/>
    <w:rsid w:val="00FA3ABB"/>
    <w:rsid w:val="00FD3814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091D0"/>
  <w15:docId w15:val="{A494DC84-6777-453C-8558-73B1CEC2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E3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1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7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AA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15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50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562"/>
  </w:style>
  <w:style w:type="paragraph" w:styleId="Footer">
    <w:name w:val="footer"/>
    <w:basedOn w:val="Normal"/>
    <w:link w:val="FooterChar"/>
    <w:uiPriority w:val="99"/>
    <w:unhideWhenUsed/>
    <w:rsid w:val="007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4968</Characters>
  <Application>Microsoft Office Word</Application>
  <DocSecurity>0</DocSecurity>
  <Lines>110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Archives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 Riley</dc:creator>
  <cp:lastModifiedBy>Jocelyn L Blakely-Hill</cp:lastModifiedBy>
  <cp:revision>3</cp:revision>
  <dcterms:created xsi:type="dcterms:W3CDTF">2022-02-28T14:58:00Z</dcterms:created>
  <dcterms:modified xsi:type="dcterms:W3CDTF">2023-05-26T16:55:00Z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e2eb81f605a22a31de1bd84c8727509ec92eb1c00c9fd6afbdd04cb811e37d69</vt:lpwstr>
  </property>
</Properties>
</file>