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4BEF" w14:textId="77777777" w:rsidR="0079156E" w:rsidRPr="008F3172" w:rsidRDefault="008F3172" w:rsidP="003E24C8">
      <w:pPr>
        <w:spacing w:after="0" w:line="240" w:lineRule="auto"/>
        <w:ind w:left="-720"/>
        <w:jc w:val="center"/>
        <w:rPr>
          <w:b/>
          <w:sz w:val="36"/>
          <w:szCs w:val="36"/>
        </w:rPr>
      </w:pPr>
      <w:r w:rsidRPr="008F3172">
        <w:rPr>
          <w:b/>
          <w:sz w:val="36"/>
          <w:szCs w:val="36"/>
        </w:rPr>
        <w:t>GENERAL RECORDS SCHEDULE</w:t>
      </w:r>
      <w:r w:rsidR="009F4447">
        <w:rPr>
          <w:b/>
          <w:sz w:val="36"/>
          <w:szCs w:val="36"/>
        </w:rPr>
        <w:t xml:space="preserve"> 6.4</w:t>
      </w:r>
      <w:r w:rsidR="00DC68B5">
        <w:rPr>
          <w:b/>
          <w:sz w:val="36"/>
          <w:szCs w:val="36"/>
        </w:rPr>
        <w:t xml:space="preserve">:  </w:t>
      </w:r>
      <w:r w:rsidR="00DF0D94">
        <w:rPr>
          <w:b/>
          <w:sz w:val="36"/>
          <w:szCs w:val="36"/>
        </w:rPr>
        <w:t>Public Affairs Records</w:t>
      </w:r>
      <w:r w:rsidR="00D57466">
        <w:rPr>
          <w:b/>
          <w:sz w:val="36"/>
          <w:szCs w:val="36"/>
        </w:rPr>
        <w:t xml:space="preserve"> </w:t>
      </w:r>
    </w:p>
    <w:p w14:paraId="2DDBC806" w14:textId="77777777" w:rsidR="00552BD0" w:rsidRPr="002D2643" w:rsidRDefault="00552BD0" w:rsidP="00DC68B5">
      <w:pPr>
        <w:spacing w:after="0" w:line="240" w:lineRule="auto"/>
        <w:rPr>
          <w:rFonts w:asciiTheme="minorHAnsi" w:hAnsiTheme="minorHAnsi"/>
          <w:sz w:val="20"/>
          <w:szCs w:val="20"/>
        </w:rPr>
      </w:pPr>
    </w:p>
    <w:p w14:paraId="63954A7F" w14:textId="77777777" w:rsidR="00967E5E" w:rsidRDefault="00CF10A9" w:rsidP="004C06B9">
      <w:pPr>
        <w:spacing w:after="0" w:line="240" w:lineRule="auto"/>
        <w:jc w:val="both"/>
      </w:pPr>
      <w:r>
        <w:rPr>
          <w:rFonts w:asciiTheme="minorHAnsi" w:hAnsiTheme="minorHAnsi"/>
        </w:rPr>
        <w:t xml:space="preserve">This schedule covers records </w:t>
      </w:r>
      <w:r w:rsidR="009507D5">
        <w:rPr>
          <w:rFonts w:asciiTheme="minorHAnsi" w:hAnsiTheme="minorHAnsi"/>
        </w:rPr>
        <w:t>about</w:t>
      </w:r>
      <w:r>
        <w:rPr>
          <w:rFonts w:asciiTheme="minorHAnsi" w:hAnsiTheme="minorHAnsi"/>
        </w:rPr>
        <w:t xml:space="preserve"> p</w:t>
      </w:r>
      <w:r w:rsidR="009507D5">
        <w:rPr>
          <w:rFonts w:asciiTheme="minorHAnsi" w:hAnsiTheme="minorHAnsi"/>
        </w:rPr>
        <w:t>ublic affairs functions within F</w:t>
      </w:r>
      <w:r>
        <w:rPr>
          <w:rFonts w:asciiTheme="minorHAnsi" w:hAnsiTheme="minorHAnsi"/>
        </w:rPr>
        <w:t xml:space="preserve">ederal agencies. </w:t>
      </w:r>
      <w:r w:rsidR="009507D5">
        <w:t>Public a</w:t>
      </w:r>
      <w:r w:rsidR="00C066BF">
        <w:t xml:space="preserve">ffairs </w:t>
      </w:r>
      <w:proofErr w:type="gramStart"/>
      <w:r w:rsidR="00C066BF">
        <w:t>involves</w:t>
      </w:r>
      <w:proofErr w:type="gramEnd"/>
      <w:r w:rsidR="00C066BF">
        <w:t xml:space="preserve"> </w:t>
      </w:r>
      <w:r w:rsidR="009507D5">
        <w:t>communications and information exchanges between the Federal G</w:t>
      </w:r>
      <w:r w:rsidR="00C066BF">
        <w:t>overnment, citizens, and stakeholders in direct support of citizen</w:t>
      </w:r>
      <w:r w:rsidR="009507D5">
        <w:t xml:space="preserve"> services, public policy, and</w:t>
      </w:r>
      <w:r w:rsidR="00C066BF">
        <w:t xml:space="preserve"> national interest. </w:t>
      </w:r>
    </w:p>
    <w:p w14:paraId="7157CC71" w14:textId="77777777" w:rsidR="00564C64" w:rsidRDefault="00564C64" w:rsidP="004C06B9">
      <w:pPr>
        <w:spacing w:after="0" w:line="240" w:lineRule="auto"/>
        <w:jc w:val="both"/>
      </w:pPr>
    </w:p>
    <w:p w14:paraId="504AF0E1" w14:textId="77777777" w:rsidR="00564C64" w:rsidRPr="00564C64" w:rsidRDefault="00564C64" w:rsidP="004C06B9">
      <w:pPr>
        <w:spacing w:after="0" w:line="240" w:lineRule="auto"/>
        <w:jc w:val="both"/>
        <w:rPr>
          <w:rFonts w:asciiTheme="minorHAnsi" w:hAnsiTheme="minorHAnsi"/>
        </w:rPr>
      </w:pPr>
      <w:r w:rsidRPr="00564C64">
        <w:rPr>
          <w:rFonts w:asciiTheme="minorHAnsi" w:hAnsiTheme="minorHAnsi"/>
        </w:rPr>
        <w:t>Agencies must offer any records created prior to January 1, 1921, to the National Archives and Records Administration (NARA) before applying disposition</w:t>
      </w:r>
      <w:r>
        <w:rPr>
          <w:rFonts w:asciiTheme="minorHAnsi" w:hAnsiTheme="minorHAnsi"/>
        </w:rPr>
        <w:t xml:space="preserve"> instructions in this schedule.</w:t>
      </w:r>
    </w:p>
    <w:p w14:paraId="6607BBE1" w14:textId="77777777" w:rsidR="004C06B9" w:rsidRDefault="004C06B9" w:rsidP="004C7921">
      <w:pPr>
        <w:spacing w:after="0" w:line="240" w:lineRule="auto"/>
        <w:jc w:val="both"/>
        <w:rPr>
          <w:rFonts w:asciiTheme="minorHAnsi" w:hAnsiTheme="minorHAnsi"/>
        </w:rPr>
      </w:pPr>
    </w:p>
    <w:p w14:paraId="51BFA644" w14:textId="77777777" w:rsidR="008E14E9" w:rsidRDefault="009507D5" w:rsidP="009507D5">
      <w:pPr>
        <w:spacing w:after="0" w:line="240" w:lineRule="auto"/>
        <w:jc w:val="both"/>
        <w:rPr>
          <w:rFonts w:asciiTheme="minorHAnsi" w:hAnsiTheme="minorHAnsi"/>
        </w:rPr>
      </w:pPr>
      <w:r>
        <w:rPr>
          <w:rFonts w:asciiTheme="minorHAnsi" w:hAnsiTheme="minorHAnsi"/>
        </w:rPr>
        <w:t>Agencies must schedule records that this GRS does not include. This GRS does not include many public affairs-</w:t>
      </w:r>
      <w:r w:rsidR="00393EA0">
        <w:rPr>
          <w:rFonts w:asciiTheme="minorHAnsi" w:hAnsiTheme="minorHAnsi"/>
        </w:rPr>
        <w:t xml:space="preserve">related records because they either typically </w:t>
      </w:r>
      <w:r>
        <w:rPr>
          <w:rFonts w:asciiTheme="minorHAnsi" w:hAnsiTheme="minorHAnsi"/>
        </w:rPr>
        <w:t xml:space="preserve">are </w:t>
      </w:r>
      <w:r w:rsidR="00393EA0">
        <w:rPr>
          <w:rFonts w:asciiTheme="minorHAnsi" w:hAnsiTheme="minorHAnsi"/>
        </w:rPr>
        <w:t xml:space="preserve">permanent or </w:t>
      </w:r>
      <w:r>
        <w:rPr>
          <w:rFonts w:asciiTheme="minorHAnsi" w:hAnsiTheme="minorHAnsi"/>
        </w:rPr>
        <w:t>are not temporary in ever</w:t>
      </w:r>
      <w:r w:rsidR="00D57466">
        <w:rPr>
          <w:rFonts w:asciiTheme="minorHAnsi" w:hAnsiTheme="minorHAnsi"/>
        </w:rPr>
        <w:t>y</w:t>
      </w:r>
      <w:r>
        <w:rPr>
          <w:rFonts w:asciiTheme="minorHAnsi" w:hAnsiTheme="minorHAnsi"/>
        </w:rPr>
        <w:t xml:space="preserve"> case</w:t>
      </w:r>
      <w:r w:rsidR="00393EA0">
        <w:rPr>
          <w:rFonts w:asciiTheme="minorHAnsi" w:hAnsiTheme="minorHAnsi"/>
        </w:rPr>
        <w:t xml:space="preserve">. </w:t>
      </w:r>
      <w:r w:rsidR="00C27337">
        <w:rPr>
          <w:rFonts w:asciiTheme="minorHAnsi" w:hAnsiTheme="minorHAnsi"/>
        </w:rPr>
        <w:t xml:space="preserve">See the Public Affairs Records Scheduling Guidelines for additional information on how agencies might schedule records </w:t>
      </w:r>
      <w:r>
        <w:rPr>
          <w:rFonts w:asciiTheme="minorHAnsi" w:hAnsiTheme="minorHAnsi"/>
        </w:rPr>
        <w:t>this GRS does not include.</w:t>
      </w:r>
    </w:p>
    <w:p w14:paraId="405A5E63" w14:textId="77777777" w:rsidR="009507D5" w:rsidRDefault="009507D5" w:rsidP="009507D5">
      <w:pPr>
        <w:spacing w:after="0" w:line="240" w:lineRule="auto"/>
        <w:jc w:val="both"/>
        <w:rPr>
          <w:rFonts w:asciiTheme="minorHAnsi" w:hAnsiTheme="minorHAnsi"/>
        </w:rPr>
      </w:pPr>
    </w:p>
    <w:tbl>
      <w:tblPr>
        <w:tblW w:w="144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
        <w:gridCol w:w="9990"/>
        <w:gridCol w:w="2430"/>
        <w:gridCol w:w="1350"/>
      </w:tblGrid>
      <w:tr w:rsidR="002736CC" w:rsidRPr="002D2643" w14:paraId="52AE2422" w14:textId="77777777" w:rsidTr="004633CB">
        <w:trPr>
          <w:cantSplit/>
          <w:tblHeader/>
        </w:trPr>
        <w:tc>
          <w:tcPr>
            <w:tcW w:w="720" w:type="dxa"/>
            <w:shd w:val="clear" w:color="auto" w:fill="B6DDE8"/>
          </w:tcPr>
          <w:p w14:paraId="65E3D414" w14:textId="77777777" w:rsidR="002736CC" w:rsidRPr="00632350" w:rsidRDefault="002736CC" w:rsidP="00632350">
            <w:pPr>
              <w:spacing w:after="0" w:line="240" w:lineRule="auto"/>
              <w:jc w:val="center"/>
              <w:rPr>
                <w:rFonts w:asciiTheme="minorHAnsi" w:hAnsiTheme="minorHAnsi" w:cstheme="minorHAnsi"/>
                <w:b/>
              </w:rPr>
            </w:pPr>
            <w:r w:rsidRPr="00632350">
              <w:rPr>
                <w:rFonts w:asciiTheme="minorHAnsi" w:hAnsiTheme="minorHAnsi" w:cstheme="minorHAnsi"/>
                <w:b/>
              </w:rPr>
              <w:t>Item</w:t>
            </w:r>
          </w:p>
        </w:tc>
        <w:tc>
          <w:tcPr>
            <w:tcW w:w="9990" w:type="dxa"/>
            <w:shd w:val="clear" w:color="auto" w:fill="B6DDE8"/>
          </w:tcPr>
          <w:p w14:paraId="704BF47B" w14:textId="77777777" w:rsidR="002736CC" w:rsidRPr="002D2643" w:rsidRDefault="002736CC" w:rsidP="002736CC">
            <w:pPr>
              <w:spacing w:after="0" w:line="240" w:lineRule="auto"/>
              <w:rPr>
                <w:rFonts w:asciiTheme="minorHAnsi" w:hAnsiTheme="minorHAnsi" w:cstheme="minorHAnsi"/>
                <w:b/>
              </w:rPr>
            </w:pPr>
            <w:r w:rsidRPr="002D2643">
              <w:rPr>
                <w:rFonts w:asciiTheme="minorHAnsi" w:hAnsiTheme="minorHAnsi" w:cstheme="minorHAnsi"/>
                <w:b/>
              </w:rPr>
              <w:t>Records Description</w:t>
            </w:r>
          </w:p>
        </w:tc>
        <w:tc>
          <w:tcPr>
            <w:tcW w:w="2430" w:type="dxa"/>
            <w:shd w:val="clear" w:color="auto" w:fill="B6DDE8"/>
          </w:tcPr>
          <w:p w14:paraId="2CEEFE22" w14:textId="77777777" w:rsidR="002736CC" w:rsidRPr="002D2643" w:rsidRDefault="002736CC" w:rsidP="004C7901">
            <w:pPr>
              <w:spacing w:after="0" w:line="240" w:lineRule="auto"/>
              <w:jc w:val="center"/>
              <w:rPr>
                <w:rFonts w:asciiTheme="minorHAnsi" w:hAnsiTheme="minorHAnsi" w:cstheme="minorHAnsi"/>
                <w:b/>
              </w:rPr>
            </w:pPr>
            <w:r w:rsidRPr="002D2643">
              <w:rPr>
                <w:rFonts w:asciiTheme="minorHAnsi" w:hAnsiTheme="minorHAnsi" w:cstheme="minorHAnsi"/>
                <w:b/>
              </w:rPr>
              <w:t>Disposition Instruction</w:t>
            </w:r>
          </w:p>
        </w:tc>
        <w:tc>
          <w:tcPr>
            <w:tcW w:w="1350" w:type="dxa"/>
            <w:shd w:val="clear" w:color="auto" w:fill="B6DDE8"/>
          </w:tcPr>
          <w:p w14:paraId="6798241C" w14:textId="77777777" w:rsidR="002736CC" w:rsidRPr="002D2643" w:rsidRDefault="002736CC" w:rsidP="004C7921">
            <w:pPr>
              <w:spacing w:after="0" w:line="240" w:lineRule="auto"/>
              <w:jc w:val="center"/>
              <w:rPr>
                <w:rFonts w:asciiTheme="minorHAnsi" w:hAnsiTheme="minorHAnsi" w:cstheme="minorHAnsi"/>
                <w:b/>
              </w:rPr>
            </w:pPr>
            <w:r w:rsidRPr="002D2643">
              <w:rPr>
                <w:rFonts w:asciiTheme="minorHAnsi" w:hAnsiTheme="minorHAnsi" w:cstheme="minorHAnsi"/>
                <w:b/>
              </w:rPr>
              <w:t>Disposition Authority</w:t>
            </w:r>
          </w:p>
        </w:tc>
      </w:tr>
      <w:tr w:rsidR="002736CC" w:rsidRPr="006C53EA" w14:paraId="1C59046F" w14:textId="77777777" w:rsidTr="004633CB">
        <w:trPr>
          <w:cantSplit/>
        </w:trPr>
        <w:tc>
          <w:tcPr>
            <w:tcW w:w="720" w:type="dxa"/>
          </w:tcPr>
          <w:p w14:paraId="7DACFDA5" w14:textId="77777777" w:rsidR="002736CC" w:rsidRPr="006C53EA" w:rsidRDefault="002736CC" w:rsidP="00632350">
            <w:pPr>
              <w:spacing w:after="0" w:line="240" w:lineRule="auto"/>
              <w:jc w:val="center"/>
              <w:rPr>
                <w:rFonts w:asciiTheme="minorHAnsi" w:hAnsiTheme="minorHAnsi"/>
              </w:rPr>
            </w:pPr>
            <w:r>
              <w:rPr>
                <w:rFonts w:asciiTheme="minorHAnsi" w:hAnsiTheme="minorHAnsi"/>
              </w:rPr>
              <w:t>010</w:t>
            </w:r>
          </w:p>
        </w:tc>
        <w:tc>
          <w:tcPr>
            <w:tcW w:w="9990" w:type="dxa"/>
          </w:tcPr>
          <w:p w14:paraId="708BA637" w14:textId="77777777" w:rsidR="002736CC" w:rsidRPr="006C53EA" w:rsidRDefault="00291F93" w:rsidP="00076098">
            <w:pPr>
              <w:spacing w:after="0" w:line="240" w:lineRule="auto"/>
              <w:ind w:left="11"/>
              <w:rPr>
                <w:rFonts w:asciiTheme="minorHAnsi" w:hAnsiTheme="minorHAnsi" w:cs="TimesNewRomanPSMT"/>
                <w:b/>
              </w:rPr>
            </w:pPr>
            <w:r>
              <w:rPr>
                <w:rFonts w:asciiTheme="minorHAnsi" w:hAnsiTheme="minorHAnsi" w:cs="TimesNewRomanPSMT"/>
                <w:b/>
              </w:rPr>
              <w:t>Public affairs-related routine operational</w:t>
            </w:r>
            <w:r w:rsidR="002736CC">
              <w:rPr>
                <w:rFonts w:asciiTheme="minorHAnsi" w:hAnsiTheme="minorHAnsi" w:cs="TimesNewRomanPSMT"/>
                <w:b/>
              </w:rPr>
              <w:t xml:space="preserve"> records.</w:t>
            </w:r>
          </w:p>
          <w:p w14:paraId="38746ED0" w14:textId="77777777" w:rsidR="004F4CD5" w:rsidRDefault="004F4CD5" w:rsidP="00433F29">
            <w:pPr>
              <w:spacing w:after="0" w:line="240" w:lineRule="auto"/>
              <w:ind w:left="328"/>
            </w:pPr>
            <w:r>
              <w:t>Records related to the routine, day-to-day administration of public affairs activities, including but not limited to:</w:t>
            </w:r>
          </w:p>
          <w:p w14:paraId="65CBEB84" w14:textId="77777777" w:rsidR="002736CC" w:rsidRDefault="00EA4C66" w:rsidP="00361720">
            <w:pPr>
              <w:pStyle w:val="ListParagraph"/>
              <w:numPr>
                <w:ilvl w:val="0"/>
                <w:numId w:val="22"/>
              </w:numPr>
              <w:spacing w:after="0" w:line="240" w:lineRule="auto"/>
              <w:ind w:left="695"/>
            </w:pPr>
            <w:r>
              <w:t xml:space="preserve">logistics, </w:t>
            </w:r>
            <w:r w:rsidR="002736CC">
              <w:t>plann</w:t>
            </w:r>
            <w:r w:rsidR="00742F01">
              <w:t>ing</w:t>
            </w:r>
            <w:r>
              <w:t>, and correspondence records</w:t>
            </w:r>
            <w:r w:rsidR="00E259F8">
              <w:t xml:space="preserve"> for routine </w:t>
            </w:r>
            <w:r w:rsidR="00742F01">
              <w:t xml:space="preserve">conferences and </w:t>
            </w:r>
            <w:r w:rsidR="002736CC">
              <w:t>events</w:t>
            </w:r>
          </w:p>
          <w:p w14:paraId="5B170B81" w14:textId="77777777" w:rsidR="002736CC" w:rsidRDefault="009507D5" w:rsidP="00361720">
            <w:pPr>
              <w:pStyle w:val="ListParagraph"/>
              <w:numPr>
                <w:ilvl w:val="0"/>
                <w:numId w:val="22"/>
              </w:numPr>
              <w:spacing w:after="0" w:line="240" w:lineRule="auto"/>
              <w:ind w:left="695"/>
            </w:pPr>
            <w:r>
              <w:t xml:space="preserve">correspondence </w:t>
            </w:r>
            <w:r w:rsidR="002736CC">
              <w:t xml:space="preserve">and records </w:t>
            </w:r>
            <w:r>
              <w:t>on</w:t>
            </w:r>
            <w:r w:rsidR="002736CC">
              <w:t xml:space="preserve"> speakers and speaking engagements, including biographies</w:t>
            </w:r>
          </w:p>
          <w:p w14:paraId="1E214AED" w14:textId="77777777" w:rsidR="00EA4C66" w:rsidRPr="00EA4C66" w:rsidRDefault="002B7015" w:rsidP="009507D5">
            <w:pPr>
              <w:pStyle w:val="ListParagraph"/>
              <w:numPr>
                <w:ilvl w:val="0"/>
                <w:numId w:val="35"/>
              </w:numPr>
              <w:spacing w:after="0" w:line="240" w:lineRule="auto"/>
              <w:ind w:left="695"/>
              <w:rPr>
                <w:rFonts w:asciiTheme="minorHAnsi" w:hAnsiTheme="minorHAnsi" w:cs="TimesNewRomanPSMT"/>
              </w:rPr>
            </w:pPr>
            <w:r w:rsidRPr="004C06B9">
              <w:rPr>
                <w:rFonts w:asciiTheme="minorHAnsi" w:hAnsiTheme="minorHAnsi" w:cs="TimesNewRomanPSMT"/>
              </w:rPr>
              <w:t xml:space="preserve">case files and databases </w:t>
            </w:r>
            <w:r w:rsidR="009507D5">
              <w:rPr>
                <w:rFonts w:asciiTheme="minorHAnsi" w:hAnsiTheme="minorHAnsi" w:cs="TimesNewRomanPSMT"/>
              </w:rPr>
              <w:t>of</w:t>
            </w:r>
            <w:r w:rsidRPr="004C06B9">
              <w:rPr>
                <w:rFonts w:asciiTheme="minorHAnsi" w:hAnsiTheme="minorHAnsi" w:cs="TimesNewRomanPSMT"/>
              </w:rPr>
              <w:t xml:space="preserve"> public comments </w:t>
            </w:r>
            <w:r w:rsidR="004C06B9">
              <w:rPr>
                <w:rFonts w:asciiTheme="minorHAnsi" w:hAnsiTheme="minorHAnsi" w:cs="TimesNewRomanPSMT"/>
              </w:rPr>
              <w:t>(related to public affairs activities only)</w:t>
            </w:r>
          </w:p>
        </w:tc>
        <w:tc>
          <w:tcPr>
            <w:tcW w:w="2430" w:type="dxa"/>
          </w:tcPr>
          <w:p w14:paraId="7E44319F" w14:textId="77777777" w:rsidR="002736CC" w:rsidRPr="00433F29" w:rsidRDefault="002736CC" w:rsidP="00433F29">
            <w:pPr>
              <w:spacing w:after="0" w:line="240" w:lineRule="auto"/>
              <w:rPr>
                <w:rFonts w:asciiTheme="minorHAnsi" w:hAnsiTheme="minorHAnsi"/>
                <w:b/>
              </w:rPr>
            </w:pPr>
            <w:r w:rsidRPr="00433F29">
              <w:rPr>
                <w:rFonts w:asciiTheme="minorHAnsi" w:hAnsiTheme="minorHAnsi"/>
                <w:b/>
              </w:rPr>
              <w:t xml:space="preserve">Temporary. </w:t>
            </w:r>
            <w:r w:rsidRPr="00433F29">
              <w:rPr>
                <w:rFonts w:asciiTheme="minorHAnsi" w:hAnsiTheme="minorHAnsi"/>
              </w:rPr>
              <w:t>Destroy when 3 years old, or no longer needed, whichever is later.</w:t>
            </w:r>
          </w:p>
          <w:p w14:paraId="1930A490" w14:textId="77777777" w:rsidR="002736CC" w:rsidRPr="006C53EA" w:rsidRDefault="002736CC" w:rsidP="00EC430C">
            <w:pPr>
              <w:spacing w:after="0" w:line="240" w:lineRule="auto"/>
              <w:rPr>
                <w:rFonts w:asciiTheme="minorHAnsi" w:hAnsiTheme="minorHAnsi"/>
              </w:rPr>
            </w:pPr>
          </w:p>
        </w:tc>
        <w:tc>
          <w:tcPr>
            <w:tcW w:w="1350" w:type="dxa"/>
          </w:tcPr>
          <w:p w14:paraId="7A25EF44" w14:textId="77777777" w:rsidR="002736CC" w:rsidRPr="006C53EA" w:rsidRDefault="002736CC" w:rsidP="000C0B76">
            <w:pPr>
              <w:spacing w:after="0" w:line="240" w:lineRule="auto"/>
              <w:rPr>
                <w:rFonts w:asciiTheme="minorHAnsi" w:hAnsiTheme="minorHAnsi" w:cstheme="minorHAnsi"/>
              </w:rPr>
            </w:pPr>
            <w:r w:rsidRPr="006C53EA">
              <w:rPr>
                <w:rFonts w:asciiTheme="minorHAnsi" w:hAnsiTheme="minorHAnsi" w:cstheme="minorHAnsi"/>
              </w:rPr>
              <w:t>DAA-GRS-20</w:t>
            </w:r>
            <w:r w:rsidR="000C0B76">
              <w:rPr>
                <w:rFonts w:asciiTheme="minorHAnsi" w:hAnsiTheme="minorHAnsi" w:cstheme="minorHAnsi"/>
              </w:rPr>
              <w:t>16-0005</w:t>
            </w:r>
            <w:r w:rsidRPr="006C53EA">
              <w:rPr>
                <w:rFonts w:asciiTheme="minorHAnsi" w:hAnsiTheme="minorHAnsi" w:cstheme="minorHAnsi"/>
              </w:rPr>
              <w:t>-</w:t>
            </w:r>
            <w:r>
              <w:rPr>
                <w:rFonts w:asciiTheme="minorHAnsi" w:hAnsiTheme="minorHAnsi" w:cstheme="minorHAnsi"/>
              </w:rPr>
              <w:t>000</w:t>
            </w:r>
            <w:r w:rsidR="00CF10A9">
              <w:rPr>
                <w:rFonts w:asciiTheme="minorHAnsi" w:hAnsiTheme="minorHAnsi" w:cstheme="minorHAnsi"/>
              </w:rPr>
              <w:t>1</w:t>
            </w:r>
          </w:p>
        </w:tc>
      </w:tr>
      <w:tr w:rsidR="00B07F44" w:rsidRPr="006C53EA" w14:paraId="7639358D" w14:textId="77777777" w:rsidTr="004633CB">
        <w:trPr>
          <w:trHeight w:val="1702"/>
        </w:trPr>
        <w:tc>
          <w:tcPr>
            <w:tcW w:w="720" w:type="dxa"/>
          </w:tcPr>
          <w:p w14:paraId="1E0BCC33" w14:textId="77777777" w:rsidR="00B07F44" w:rsidRDefault="00B07F44" w:rsidP="00632350">
            <w:pPr>
              <w:spacing w:after="0" w:line="240" w:lineRule="auto"/>
              <w:jc w:val="center"/>
              <w:rPr>
                <w:rFonts w:asciiTheme="minorHAnsi" w:hAnsiTheme="minorHAnsi"/>
              </w:rPr>
            </w:pPr>
            <w:r>
              <w:rPr>
                <w:rFonts w:asciiTheme="minorHAnsi" w:hAnsiTheme="minorHAnsi"/>
              </w:rPr>
              <w:t>020</w:t>
            </w:r>
          </w:p>
        </w:tc>
        <w:tc>
          <w:tcPr>
            <w:tcW w:w="9990" w:type="dxa"/>
          </w:tcPr>
          <w:p w14:paraId="45A58B02" w14:textId="77777777" w:rsidR="00B07F44" w:rsidRPr="00E43F57" w:rsidRDefault="00B07F44" w:rsidP="00256246">
            <w:pPr>
              <w:spacing w:after="0" w:line="240" w:lineRule="auto"/>
              <w:ind w:left="11"/>
              <w:rPr>
                <w:rFonts w:asciiTheme="minorHAnsi" w:hAnsiTheme="minorHAnsi" w:cs="TimesNewRomanPSMT"/>
                <w:b/>
              </w:rPr>
            </w:pPr>
            <w:r w:rsidRPr="00E43F57">
              <w:rPr>
                <w:rFonts w:asciiTheme="minorHAnsi" w:hAnsiTheme="minorHAnsi" w:cs="TimesNewRomanPSMT"/>
                <w:b/>
              </w:rPr>
              <w:t xml:space="preserve">Public </w:t>
            </w:r>
            <w:r>
              <w:rPr>
                <w:rFonts w:asciiTheme="minorHAnsi" w:hAnsiTheme="minorHAnsi" w:cs="TimesNewRomanPSMT"/>
                <w:b/>
              </w:rPr>
              <w:t>correspondence and communications</w:t>
            </w:r>
            <w:r w:rsidR="003A3AA3">
              <w:rPr>
                <w:rFonts w:asciiTheme="minorHAnsi" w:hAnsiTheme="minorHAnsi" w:cs="TimesNewRomanPSMT"/>
                <w:b/>
              </w:rPr>
              <w:t xml:space="preserve"> not requiring formal action</w:t>
            </w:r>
            <w:r w:rsidRPr="00E43F57">
              <w:rPr>
                <w:rFonts w:asciiTheme="minorHAnsi" w:hAnsiTheme="minorHAnsi" w:cs="TimesNewRomanPSMT"/>
                <w:b/>
              </w:rPr>
              <w:t>.</w:t>
            </w:r>
          </w:p>
          <w:p w14:paraId="7AD29454" w14:textId="77777777" w:rsidR="00B07F44" w:rsidRDefault="00B07F44" w:rsidP="00245F61">
            <w:pPr>
              <w:spacing w:after="0" w:line="240" w:lineRule="auto"/>
              <w:ind w:left="335"/>
              <w:rPr>
                <w:rFonts w:asciiTheme="minorHAnsi" w:hAnsiTheme="minorHAnsi" w:cs="TimesNewRomanPSMT"/>
              </w:rPr>
            </w:pPr>
            <w:r w:rsidRPr="00E43F57">
              <w:rPr>
                <w:rFonts w:asciiTheme="minorHAnsi" w:hAnsiTheme="minorHAnsi" w:cs="TimesNewRomanPSMT"/>
              </w:rPr>
              <w:t>Records related to correspondence</w:t>
            </w:r>
            <w:r>
              <w:rPr>
                <w:rFonts w:asciiTheme="minorHAnsi" w:hAnsiTheme="minorHAnsi" w:cs="TimesNewRomanPSMT"/>
              </w:rPr>
              <w:t xml:space="preserve"> and communications</w:t>
            </w:r>
            <w:r w:rsidR="003A3AA3">
              <w:rPr>
                <w:rFonts w:asciiTheme="minorHAnsi" w:hAnsiTheme="minorHAnsi" w:cs="TimesNewRomanPSMT"/>
              </w:rPr>
              <w:t>, including comments,</w:t>
            </w:r>
            <w:r>
              <w:rPr>
                <w:rFonts w:asciiTheme="minorHAnsi" w:hAnsiTheme="minorHAnsi" w:cs="TimesNewRomanPSMT"/>
              </w:rPr>
              <w:t xml:space="preserve"> to and from the public </w:t>
            </w:r>
            <w:r w:rsidR="003A3AA3">
              <w:rPr>
                <w:rFonts w:asciiTheme="minorHAnsi" w:hAnsiTheme="minorHAnsi" w:cs="TimesNewRomanPSMT"/>
              </w:rPr>
              <w:t>that require no formal response or action</w:t>
            </w:r>
            <w:r>
              <w:rPr>
                <w:rFonts w:asciiTheme="minorHAnsi" w:hAnsiTheme="minorHAnsi" w:cs="TimesNewRomanPSMT"/>
              </w:rPr>
              <w:t>.  Includes:</w:t>
            </w:r>
          </w:p>
          <w:p w14:paraId="7B915B17" w14:textId="77777777" w:rsidR="00B07F44" w:rsidRDefault="003A3AA3" w:rsidP="00361720">
            <w:pPr>
              <w:pStyle w:val="ListParagraph"/>
              <w:numPr>
                <w:ilvl w:val="0"/>
                <w:numId w:val="35"/>
              </w:numPr>
              <w:spacing w:after="0" w:line="240" w:lineRule="auto"/>
              <w:ind w:left="695"/>
              <w:rPr>
                <w:rFonts w:asciiTheme="minorHAnsi" w:hAnsiTheme="minorHAnsi" w:cs="TimesNewRomanPSMT"/>
              </w:rPr>
            </w:pPr>
            <w:r>
              <w:rPr>
                <w:rFonts w:asciiTheme="minorHAnsi" w:hAnsiTheme="minorHAnsi" w:cs="TimesNewRomanPSMT"/>
              </w:rPr>
              <w:t>c</w:t>
            </w:r>
            <w:r w:rsidR="00B07F44">
              <w:rPr>
                <w:rFonts w:asciiTheme="minorHAnsi" w:hAnsiTheme="minorHAnsi" w:cs="TimesNewRomanPSMT"/>
              </w:rPr>
              <w:t>omments the agency</w:t>
            </w:r>
            <w:r w:rsidR="009507D5">
              <w:rPr>
                <w:rFonts w:asciiTheme="minorHAnsi" w:hAnsiTheme="minorHAnsi" w:cs="TimesNewRomanPSMT"/>
              </w:rPr>
              <w:t xml:space="preserve"> receives</w:t>
            </w:r>
            <w:r w:rsidR="00B07F44">
              <w:rPr>
                <w:rFonts w:asciiTheme="minorHAnsi" w:hAnsiTheme="minorHAnsi" w:cs="TimesNewRomanPSMT"/>
              </w:rPr>
              <w:t xml:space="preserve"> but </w:t>
            </w:r>
            <w:r w:rsidR="009507D5">
              <w:rPr>
                <w:rFonts w:asciiTheme="minorHAnsi" w:hAnsiTheme="minorHAnsi" w:cs="TimesNewRomanPSMT"/>
              </w:rPr>
              <w:t xml:space="preserve">does </w:t>
            </w:r>
            <w:r w:rsidR="00B07F44">
              <w:rPr>
                <w:rFonts w:asciiTheme="minorHAnsi" w:hAnsiTheme="minorHAnsi" w:cs="TimesNewRomanPSMT"/>
              </w:rPr>
              <w:t>not ac</w:t>
            </w:r>
            <w:r w:rsidR="009507D5">
              <w:rPr>
                <w:rFonts w:asciiTheme="minorHAnsi" w:hAnsiTheme="minorHAnsi" w:cs="TimesNewRomanPSMT"/>
              </w:rPr>
              <w:t>t</w:t>
            </w:r>
            <w:r w:rsidR="00B07F44">
              <w:rPr>
                <w:rFonts w:asciiTheme="minorHAnsi" w:hAnsiTheme="minorHAnsi" w:cs="TimesNewRomanPSMT"/>
              </w:rPr>
              <w:t xml:space="preserve"> upon or that do not require a response, such as:</w:t>
            </w:r>
          </w:p>
          <w:p w14:paraId="126075DF" w14:textId="77777777" w:rsidR="00B07F44" w:rsidRDefault="00B07F44" w:rsidP="00361720">
            <w:pPr>
              <w:pStyle w:val="ListParagraph"/>
              <w:numPr>
                <w:ilvl w:val="0"/>
                <w:numId w:val="39"/>
              </w:numPr>
              <w:spacing w:after="0" w:line="240" w:lineRule="auto"/>
              <w:ind w:left="1055"/>
              <w:rPr>
                <w:color w:val="000000"/>
              </w:rPr>
            </w:pPr>
            <w:r w:rsidRPr="00E43F57">
              <w:rPr>
                <w:color w:val="000000"/>
              </w:rPr>
              <w:t xml:space="preserve">write-in campaigns </w:t>
            </w:r>
          </w:p>
          <w:p w14:paraId="1996B0E0" w14:textId="77777777" w:rsidR="00B07F44" w:rsidRPr="00E43F57" w:rsidRDefault="00B07F44" w:rsidP="00361720">
            <w:pPr>
              <w:pStyle w:val="ListParagraph"/>
              <w:numPr>
                <w:ilvl w:val="0"/>
                <w:numId w:val="39"/>
              </w:numPr>
              <w:spacing w:after="0" w:line="240" w:lineRule="auto"/>
              <w:ind w:left="1055"/>
              <w:rPr>
                <w:color w:val="000000"/>
              </w:rPr>
            </w:pPr>
            <w:r w:rsidRPr="00E43F57">
              <w:rPr>
                <w:color w:val="000000"/>
              </w:rPr>
              <w:t>personal opinions on current events or personal experiences</w:t>
            </w:r>
          </w:p>
          <w:p w14:paraId="450C3214" w14:textId="77777777" w:rsidR="00BF4FFB" w:rsidRDefault="00B07F44" w:rsidP="00BC6273">
            <w:pPr>
              <w:pStyle w:val="ListParagraph"/>
              <w:numPr>
                <w:ilvl w:val="0"/>
                <w:numId w:val="39"/>
              </w:numPr>
              <w:spacing w:after="0" w:line="240" w:lineRule="auto"/>
              <w:ind w:left="1055"/>
              <w:rPr>
                <w:color w:val="000000"/>
              </w:rPr>
            </w:pPr>
            <w:r w:rsidRPr="00BF4FFB">
              <w:rPr>
                <w:color w:val="000000"/>
              </w:rPr>
              <w:t>routine co</w:t>
            </w:r>
            <w:r w:rsidR="00BF4FFB">
              <w:rPr>
                <w:color w:val="000000"/>
              </w:rPr>
              <w:t>mplaints or</w:t>
            </w:r>
            <w:r w:rsidR="00BF4FFB" w:rsidRPr="00BF4FFB">
              <w:rPr>
                <w:color w:val="000000"/>
              </w:rPr>
              <w:t xml:space="preserve"> commendations </w:t>
            </w:r>
          </w:p>
          <w:p w14:paraId="7FEA05A6" w14:textId="77777777" w:rsidR="00B07F44" w:rsidRPr="00BF4FFB" w:rsidRDefault="00B07F44" w:rsidP="00BC6273">
            <w:pPr>
              <w:pStyle w:val="ListParagraph"/>
              <w:numPr>
                <w:ilvl w:val="0"/>
                <w:numId w:val="39"/>
              </w:numPr>
              <w:spacing w:after="0" w:line="240" w:lineRule="auto"/>
              <w:ind w:left="1055"/>
              <w:rPr>
                <w:color w:val="000000"/>
              </w:rPr>
            </w:pPr>
            <w:r w:rsidRPr="00BF4FFB">
              <w:rPr>
                <w:color w:val="000000"/>
              </w:rPr>
              <w:t>anonymous communications</w:t>
            </w:r>
          </w:p>
          <w:p w14:paraId="4FE7B015" w14:textId="77777777" w:rsidR="00B07F44" w:rsidRPr="00E43F57" w:rsidRDefault="00B07F44" w:rsidP="00361720">
            <w:pPr>
              <w:pStyle w:val="ListParagraph"/>
              <w:numPr>
                <w:ilvl w:val="0"/>
                <w:numId w:val="39"/>
              </w:numPr>
              <w:spacing w:after="0" w:line="240" w:lineRule="auto"/>
              <w:ind w:left="1055"/>
              <w:rPr>
                <w:color w:val="000000"/>
              </w:rPr>
            </w:pPr>
            <w:r w:rsidRPr="00E43F57">
              <w:rPr>
                <w:color w:val="000000"/>
              </w:rPr>
              <w:t>suggestion box comments</w:t>
            </w:r>
          </w:p>
          <w:p w14:paraId="065AFC5C" w14:textId="77777777" w:rsidR="009507D5" w:rsidRDefault="00B07F44" w:rsidP="00361720">
            <w:pPr>
              <w:pStyle w:val="ListParagraph"/>
              <w:numPr>
                <w:ilvl w:val="0"/>
                <w:numId w:val="39"/>
              </w:numPr>
              <w:spacing w:after="0" w:line="240" w:lineRule="auto"/>
              <w:ind w:left="1055"/>
              <w:rPr>
                <w:color w:val="000000"/>
              </w:rPr>
            </w:pPr>
            <w:r w:rsidRPr="00E43F57">
              <w:rPr>
                <w:color w:val="000000"/>
              </w:rPr>
              <w:t xml:space="preserve">public correspondence </w:t>
            </w:r>
            <w:r w:rsidR="009507D5">
              <w:rPr>
                <w:color w:val="000000"/>
              </w:rPr>
              <w:t>addressed to another entity and copied to the agency or that the agency receives in error</w:t>
            </w:r>
          </w:p>
          <w:p w14:paraId="6B900A05" w14:textId="77777777" w:rsidR="00B07F44" w:rsidRPr="00B07F44" w:rsidRDefault="00B07F44" w:rsidP="00361720">
            <w:pPr>
              <w:pStyle w:val="ListParagraph"/>
              <w:numPr>
                <w:ilvl w:val="0"/>
                <w:numId w:val="39"/>
              </w:numPr>
              <w:spacing w:after="0" w:line="240" w:lineRule="auto"/>
              <w:ind w:left="1055"/>
              <w:rPr>
                <w:color w:val="000000"/>
              </w:rPr>
            </w:pPr>
            <w:r>
              <w:rPr>
                <w:color w:val="000000"/>
              </w:rPr>
              <w:t xml:space="preserve">comments posted by the public on an agency website that do not require response or that </w:t>
            </w:r>
            <w:r w:rsidR="009507D5">
              <w:rPr>
                <w:color w:val="000000"/>
              </w:rPr>
              <w:t xml:space="preserve">the agency does not collect </w:t>
            </w:r>
            <w:r w:rsidR="00361720">
              <w:rPr>
                <w:color w:val="000000"/>
              </w:rPr>
              <w:t>for further use</w:t>
            </w:r>
          </w:p>
          <w:p w14:paraId="0FDD4F4A" w14:textId="77777777" w:rsidR="00B07F44" w:rsidRDefault="003A3AA3" w:rsidP="00361720">
            <w:pPr>
              <w:pStyle w:val="ListParagraph"/>
              <w:numPr>
                <w:ilvl w:val="0"/>
                <w:numId w:val="35"/>
              </w:numPr>
              <w:spacing w:after="0" w:line="240" w:lineRule="auto"/>
              <w:ind w:left="695"/>
              <w:rPr>
                <w:rFonts w:asciiTheme="minorHAnsi" w:hAnsiTheme="minorHAnsi" w:cs="TimesNewRomanPSMT"/>
              </w:rPr>
            </w:pPr>
            <w:r>
              <w:rPr>
                <w:rFonts w:asciiTheme="minorHAnsi" w:hAnsiTheme="minorHAnsi" w:cs="TimesNewRomanPSMT"/>
              </w:rPr>
              <w:t>c</w:t>
            </w:r>
            <w:r w:rsidR="00B07F44" w:rsidRPr="00B07F44">
              <w:rPr>
                <w:rFonts w:asciiTheme="minorHAnsi" w:hAnsiTheme="minorHAnsi" w:cs="TimesNewRomanPSMT"/>
              </w:rPr>
              <w:t xml:space="preserve">ommunications from the public that </w:t>
            </w:r>
            <w:r w:rsidR="00CE2938">
              <w:rPr>
                <w:rFonts w:asciiTheme="minorHAnsi" w:hAnsiTheme="minorHAnsi" w:cs="TimesNewRomanPSMT"/>
              </w:rPr>
              <w:t>the agency responds to but takes no formal action on</w:t>
            </w:r>
            <w:r w:rsidR="00B07F44" w:rsidRPr="00B07F44">
              <w:rPr>
                <w:rFonts w:asciiTheme="minorHAnsi" w:hAnsiTheme="minorHAnsi" w:cs="TimesNewRomanPSMT"/>
              </w:rPr>
              <w:t xml:space="preserve"> </w:t>
            </w:r>
          </w:p>
          <w:p w14:paraId="38378BE5" w14:textId="77777777" w:rsidR="00B07F44" w:rsidRPr="00B07F44" w:rsidRDefault="003A3AA3" w:rsidP="00361720">
            <w:pPr>
              <w:pStyle w:val="ListParagraph"/>
              <w:numPr>
                <w:ilvl w:val="0"/>
                <w:numId w:val="35"/>
              </w:numPr>
              <w:spacing w:after="0" w:line="240" w:lineRule="auto"/>
              <w:ind w:left="695"/>
              <w:rPr>
                <w:rFonts w:asciiTheme="minorHAnsi" w:hAnsiTheme="minorHAnsi" w:cs="TimesNewRomanPSMT"/>
              </w:rPr>
            </w:pPr>
            <w:r>
              <w:rPr>
                <w:rFonts w:asciiTheme="minorHAnsi" w:hAnsiTheme="minorHAnsi" w:cs="TimesNewRomanPSMT"/>
              </w:rPr>
              <w:lastRenderedPageBreak/>
              <w:t>agency p</w:t>
            </w:r>
            <w:r w:rsidR="00B07F44">
              <w:rPr>
                <w:rFonts w:asciiTheme="minorHAnsi" w:hAnsiTheme="minorHAnsi" w:cs="TimesNewRomanPSMT"/>
              </w:rPr>
              <w:t xml:space="preserve">ostings on social media accounts and email blasts that consist of information released or captured elsewhere, provided </w:t>
            </w:r>
            <w:r w:rsidR="00CE2938">
              <w:rPr>
                <w:rFonts w:asciiTheme="minorHAnsi" w:hAnsiTheme="minorHAnsi" w:cs="TimesNewRomanPSMT"/>
              </w:rPr>
              <w:t>the agency also captures the posting</w:t>
            </w:r>
          </w:p>
          <w:p w14:paraId="45FEAB01" w14:textId="77777777" w:rsidR="00B07F44" w:rsidRDefault="00B07F44" w:rsidP="002736CC">
            <w:pPr>
              <w:spacing w:after="0" w:line="240" w:lineRule="auto"/>
              <w:ind w:left="328"/>
              <w:rPr>
                <w:b/>
              </w:rPr>
            </w:pPr>
          </w:p>
          <w:p w14:paraId="55F324E5" w14:textId="77777777" w:rsidR="00B07F44" w:rsidRDefault="00B07F44" w:rsidP="002736CC">
            <w:pPr>
              <w:spacing w:after="0" w:line="240" w:lineRule="auto"/>
              <w:ind w:left="328"/>
            </w:pPr>
            <w:r>
              <w:rPr>
                <w:b/>
              </w:rPr>
              <w:t xml:space="preserve">Note 1: </w:t>
            </w:r>
            <w:r>
              <w:t>For requests for information, publications, photographs, and other information involving no administrative action, policy decision, or special compilations or research, use GRS 4.2, item 010.</w:t>
            </w:r>
          </w:p>
          <w:p w14:paraId="6BDB55BB" w14:textId="77777777" w:rsidR="00B07F44" w:rsidRDefault="00B07F44" w:rsidP="002736CC">
            <w:pPr>
              <w:spacing w:after="0" w:line="240" w:lineRule="auto"/>
              <w:ind w:left="328"/>
            </w:pPr>
          </w:p>
          <w:p w14:paraId="5874E064" w14:textId="77777777" w:rsidR="00B07F44" w:rsidRPr="00C066BF" w:rsidRDefault="00B07F44" w:rsidP="002736CC">
            <w:pPr>
              <w:spacing w:after="0" w:line="240" w:lineRule="auto"/>
              <w:ind w:left="328"/>
            </w:pPr>
            <w:r>
              <w:rPr>
                <w:b/>
              </w:rPr>
              <w:t xml:space="preserve">Note 2: </w:t>
            </w:r>
            <w:r w:rsidR="00CE2938">
              <w:t>The agency must schedule an</w:t>
            </w:r>
            <w:r>
              <w:t>y correspondence</w:t>
            </w:r>
            <w:r w:rsidR="003A3AA3">
              <w:t xml:space="preserve"> or communications</w:t>
            </w:r>
            <w:r>
              <w:t xml:space="preserve"> with the publi</w:t>
            </w:r>
            <w:r w:rsidR="00CE2938">
              <w:t>c not described in this GRS</w:t>
            </w:r>
            <w:r w:rsidR="00AC095D">
              <w:t>, which includes that of high-level officials</w:t>
            </w:r>
            <w:r>
              <w:t>.</w:t>
            </w:r>
          </w:p>
          <w:p w14:paraId="16D1471B" w14:textId="77777777" w:rsidR="00B07F44" w:rsidRDefault="00B07F44" w:rsidP="00256246">
            <w:pPr>
              <w:spacing w:after="0" w:line="240" w:lineRule="auto"/>
              <w:ind w:left="11"/>
              <w:rPr>
                <w:rFonts w:asciiTheme="minorHAnsi" w:hAnsiTheme="minorHAnsi" w:cs="TimesNewRomanPSMT"/>
                <w:b/>
              </w:rPr>
            </w:pPr>
          </w:p>
          <w:p w14:paraId="75A18410" w14:textId="77777777" w:rsidR="00B07F44" w:rsidRDefault="00B07F44" w:rsidP="00541B29">
            <w:pPr>
              <w:spacing w:after="0" w:line="240" w:lineRule="auto"/>
              <w:ind w:left="335"/>
            </w:pPr>
            <w:r w:rsidRPr="00A70588">
              <w:rPr>
                <w:b/>
              </w:rPr>
              <w:t>Exclusion</w:t>
            </w:r>
            <w:r>
              <w:rPr>
                <w:b/>
              </w:rPr>
              <w:t xml:space="preserve"> 1</w:t>
            </w:r>
            <w:r w:rsidRPr="00A70588">
              <w:rPr>
                <w:b/>
              </w:rPr>
              <w:t>:</w:t>
            </w:r>
            <w:r>
              <w:t xml:space="preserve">  </w:t>
            </w:r>
            <w:r w:rsidR="00CE2938">
              <w:t>Correspondence relating to a specific case or action is not considered public correspondence and should be filed and maintained with the appropriate case or action file.</w:t>
            </w:r>
          </w:p>
          <w:p w14:paraId="50544EED" w14:textId="77777777" w:rsidR="00CE2938" w:rsidRDefault="00CE2938" w:rsidP="00541B29">
            <w:pPr>
              <w:spacing w:after="0" w:line="240" w:lineRule="auto"/>
              <w:ind w:left="335"/>
              <w:rPr>
                <w:rFonts w:asciiTheme="minorHAnsi" w:hAnsiTheme="minorHAnsi" w:cs="TimesNewRomanPSMT"/>
                <w:b/>
              </w:rPr>
            </w:pPr>
          </w:p>
          <w:p w14:paraId="4D64B057" w14:textId="77777777" w:rsidR="00B07F44" w:rsidRPr="007B726A" w:rsidRDefault="00B07F44" w:rsidP="00E259F8">
            <w:pPr>
              <w:spacing w:after="0" w:line="240" w:lineRule="auto"/>
              <w:ind w:left="335"/>
              <w:rPr>
                <w:rFonts w:asciiTheme="minorHAnsi" w:hAnsiTheme="minorHAnsi"/>
              </w:rPr>
            </w:pPr>
            <w:r>
              <w:rPr>
                <w:rFonts w:asciiTheme="minorHAnsi" w:hAnsiTheme="minorHAnsi" w:cs="TimesNewRomanPSMT"/>
                <w:b/>
              </w:rPr>
              <w:t xml:space="preserve">Exclusion 2: </w:t>
            </w:r>
            <w:r w:rsidR="00CE2938">
              <w:rPr>
                <w:rFonts w:asciiTheme="minorHAnsi" w:hAnsiTheme="minorHAnsi" w:cs="TimesNewRomanPSMT"/>
              </w:rPr>
              <w:t>Public c</w:t>
            </w:r>
            <w:r w:rsidR="00CE2938">
              <w:rPr>
                <w:rFonts w:asciiTheme="minorHAnsi" w:hAnsiTheme="minorHAnsi"/>
              </w:rPr>
              <w:t xml:space="preserve">omments that the agency </w:t>
            </w:r>
            <w:proofErr w:type="gramStart"/>
            <w:r w:rsidR="00CE2938">
              <w:rPr>
                <w:rFonts w:asciiTheme="minorHAnsi" w:hAnsiTheme="minorHAnsi"/>
              </w:rPr>
              <w:t>takes action</w:t>
            </w:r>
            <w:proofErr w:type="gramEnd"/>
            <w:r w:rsidR="00CE2938">
              <w:rPr>
                <w:rFonts w:asciiTheme="minorHAnsi" w:hAnsiTheme="minorHAnsi"/>
              </w:rPr>
              <w:t xml:space="preserve"> on or uses to take action are not covered by this GRS.</w:t>
            </w:r>
          </w:p>
        </w:tc>
        <w:tc>
          <w:tcPr>
            <w:tcW w:w="2430" w:type="dxa"/>
          </w:tcPr>
          <w:p w14:paraId="2ACDD612" w14:textId="77777777" w:rsidR="00B07F44" w:rsidRDefault="00B07F44" w:rsidP="007C27B1">
            <w:pPr>
              <w:spacing w:after="0" w:line="240" w:lineRule="auto"/>
              <w:rPr>
                <w:rFonts w:asciiTheme="minorHAnsi" w:hAnsiTheme="minorHAnsi"/>
                <w:b/>
              </w:rPr>
            </w:pPr>
            <w:r>
              <w:rPr>
                <w:b/>
              </w:rPr>
              <w:lastRenderedPageBreak/>
              <w:t xml:space="preserve">Temporary. </w:t>
            </w:r>
            <w:r>
              <w:t xml:space="preserve">Destroy when 90 days old, but longer retention is authorized if required for </w:t>
            </w:r>
            <w:r w:rsidRPr="00480253">
              <w:t>business use.</w:t>
            </w:r>
          </w:p>
        </w:tc>
        <w:tc>
          <w:tcPr>
            <w:tcW w:w="1350" w:type="dxa"/>
          </w:tcPr>
          <w:p w14:paraId="359A298F" w14:textId="77777777" w:rsidR="00B07F44" w:rsidRPr="006C53EA" w:rsidRDefault="00F16E46" w:rsidP="00DF0D94">
            <w:pPr>
              <w:spacing w:after="0" w:line="240" w:lineRule="auto"/>
              <w:rPr>
                <w:rFonts w:asciiTheme="minorHAnsi" w:hAnsiTheme="minorHAnsi" w:cstheme="minorHAnsi"/>
              </w:rPr>
            </w:pPr>
            <w:r w:rsidRPr="006C53EA">
              <w:rPr>
                <w:rFonts w:asciiTheme="minorHAnsi" w:hAnsiTheme="minorHAnsi" w:cstheme="minorHAnsi"/>
              </w:rPr>
              <w:t>DAA-GRS-20</w:t>
            </w:r>
            <w:r>
              <w:rPr>
                <w:rFonts w:asciiTheme="minorHAnsi" w:hAnsiTheme="minorHAnsi" w:cstheme="minorHAnsi"/>
              </w:rPr>
              <w:t>16-0005</w:t>
            </w:r>
            <w:r w:rsidRPr="006C53EA">
              <w:rPr>
                <w:rFonts w:asciiTheme="minorHAnsi" w:hAnsiTheme="minorHAnsi" w:cstheme="minorHAnsi"/>
              </w:rPr>
              <w:t>-</w:t>
            </w:r>
            <w:r w:rsidR="00B07F44">
              <w:rPr>
                <w:rFonts w:asciiTheme="minorHAnsi" w:hAnsiTheme="minorHAnsi" w:cstheme="minorHAnsi"/>
              </w:rPr>
              <w:t>0002</w:t>
            </w:r>
          </w:p>
        </w:tc>
      </w:tr>
      <w:tr w:rsidR="00CF10A9" w:rsidRPr="006C53EA" w14:paraId="00FC12B0" w14:textId="77777777" w:rsidTr="004633CB">
        <w:trPr>
          <w:trHeight w:val="3727"/>
        </w:trPr>
        <w:tc>
          <w:tcPr>
            <w:tcW w:w="720" w:type="dxa"/>
          </w:tcPr>
          <w:p w14:paraId="0BC863ED" w14:textId="77777777" w:rsidR="00CF10A9" w:rsidRDefault="00CF10A9" w:rsidP="00632350">
            <w:pPr>
              <w:spacing w:after="0" w:line="240" w:lineRule="auto"/>
              <w:jc w:val="center"/>
              <w:rPr>
                <w:rFonts w:asciiTheme="minorHAnsi" w:hAnsiTheme="minorHAnsi"/>
              </w:rPr>
            </w:pPr>
            <w:r>
              <w:rPr>
                <w:rFonts w:asciiTheme="minorHAnsi" w:hAnsiTheme="minorHAnsi"/>
              </w:rPr>
              <w:t>030</w:t>
            </w:r>
          </w:p>
        </w:tc>
        <w:tc>
          <w:tcPr>
            <w:tcW w:w="9990" w:type="dxa"/>
          </w:tcPr>
          <w:p w14:paraId="21AE3EC3" w14:textId="77777777" w:rsidR="00CF10A9" w:rsidRPr="00245F61" w:rsidRDefault="00A81C79" w:rsidP="00245F61">
            <w:pPr>
              <w:spacing w:after="0" w:line="240" w:lineRule="auto"/>
              <w:ind w:left="11"/>
              <w:rPr>
                <w:rFonts w:asciiTheme="minorHAnsi" w:hAnsiTheme="minorHAnsi" w:cs="TimesNewRomanPSMT"/>
                <w:b/>
              </w:rPr>
            </w:pPr>
            <w:r w:rsidRPr="00245F61">
              <w:rPr>
                <w:rFonts w:asciiTheme="minorHAnsi" w:hAnsiTheme="minorHAnsi" w:cs="TimesNewRomanPSMT"/>
                <w:b/>
              </w:rPr>
              <w:t>P</w:t>
            </w:r>
            <w:r w:rsidR="00B64437">
              <w:rPr>
                <w:rFonts w:asciiTheme="minorHAnsi" w:hAnsiTheme="minorHAnsi" w:cs="TimesNewRomanPSMT"/>
                <w:b/>
              </w:rPr>
              <w:t>ublic affairs p</w:t>
            </w:r>
            <w:r w:rsidRPr="00245F61">
              <w:rPr>
                <w:rFonts w:asciiTheme="minorHAnsi" w:hAnsiTheme="minorHAnsi" w:cs="TimesNewRomanPSMT"/>
                <w:b/>
              </w:rPr>
              <w:t>ro</w:t>
            </w:r>
            <w:r w:rsidR="00B64437">
              <w:rPr>
                <w:rFonts w:asciiTheme="minorHAnsi" w:hAnsiTheme="minorHAnsi" w:cs="TimesNewRomanPSMT"/>
                <w:b/>
              </w:rPr>
              <w:t xml:space="preserve">duct production </w:t>
            </w:r>
            <w:r w:rsidR="00551C54">
              <w:rPr>
                <w:rFonts w:asciiTheme="minorHAnsi" w:hAnsiTheme="minorHAnsi" w:cs="TimesNewRomanPSMT"/>
                <w:b/>
              </w:rPr>
              <w:t>files.</w:t>
            </w:r>
          </w:p>
          <w:p w14:paraId="34AA7324" w14:textId="77777777" w:rsidR="00DF4ADA" w:rsidRPr="00245F61" w:rsidRDefault="00DF4ADA" w:rsidP="00245F61">
            <w:pPr>
              <w:pStyle w:val="Normal1"/>
              <w:spacing w:after="0" w:line="240" w:lineRule="auto"/>
              <w:ind w:left="335"/>
            </w:pPr>
            <w:r w:rsidRPr="00245F61">
              <w:t>Records related to developing speeches, publications, educational materials, audiovisual materials</w:t>
            </w:r>
            <w:r w:rsidR="00A36C2A" w:rsidRPr="00245F61">
              <w:t xml:space="preserve"> including posters</w:t>
            </w:r>
            <w:r w:rsidRPr="00245F61">
              <w:t xml:space="preserve">, public </w:t>
            </w:r>
            <w:proofErr w:type="gramStart"/>
            <w:r w:rsidRPr="00245F61">
              <w:t>conferences</w:t>
            </w:r>
            <w:proofErr w:type="gramEnd"/>
            <w:r w:rsidRPr="00245F61">
              <w:t xml:space="preserve"> and other public outreach materials, including but not limited to:</w:t>
            </w:r>
          </w:p>
          <w:p w14:paraId="0A0FFDAE" w14:textId="77777777" w:rsidR="00EA4C66" w:rsidRPr="00257247" w:rsidRDefault="00EA4C66" w:rsidP="00EA4C66">
            <w:pPr>
              <w:pStyle w:val="ListParagraph"/>
              <w:numPr>
                <w:ilvl w:val="0"/>
                <w:numId w:val="40"/>
              </w:numPr>
              <w:spacing w:after="0" w:line="240" w:lineRule="auto"/>
              <w:rPr>
                <w:b/>
              </w:rPr>
            </w:pPr>
            <w:r w:rsidRPr="00B64437">
              <w:t>news clippings</w:t>
            </w:r>
          </w:p>
          <w:p w14:paraId="2283A845" w14:textId="77777777" w:rsidR="00257247" w:rsidRPr="00257247" w:rsidRDefault="00257247" w:rsidP="00257247">
            <w:pPr>
              <w:pStyle w:val="Normal1"/>
              <w:numPr>
                <w:ilvl w:val="0"/>
                <w:numId w:val="40"/>
              </w:numPr>
              <w:spacing w:after="0" w:line="240" w:lineRule="auto"/>
            </w:pPr>
            <w:r w:rsidRPr="00B64437">
              <w:t>marketing research</w:t>
            </w:r>
          </w:p>
          <w:p w14:paraId="2FDB316A" w14:textId="77777777" w:rsidR="00B64437" w:rsidRPr="00257247" w:rsidRDefault="00B64437" w:rsidP="00EA4C66">
            <w:pPr>
              <w:pStyle w:val="ListParagraph"/>
              <w:numPr>
                <w:ilvl w:val="0"/>
                <w:numId w:val="40"/>
              </w:numPr>
              <w:spacing w:after="0" w:line="240" w:lineRule="auto"/>
              <w:rPr>
                <w:b/>
              </w:rPr>
            </w:pPr>
            <w:r w:rsidRPr="00B64437">
              <w:t>copies of records used for reference in preparing products</w:t>
            </w:r>
          </w:p>
          <w:p w14:paraId="07037AE4" w14:textId="77777777" w:rsidR="00257247" w:rsidRPr="00257247" w:rsidRDefault="00257247" w:rsidP="00EA4C66">
            <w:pPr>
              <w:pStyle w:val="ListParagraph"/>
              <w:numPr>
                <w:ilvl w:val="0"/>
                <w:numId w:val="40"/>
              </w:numPr>
              <w:spacing w:after="0" w:line="240" w:lineRule="auto"/>
              <w:rPr>
                <w:b/>
              </w:rPr>
            </w:pPr>
            <w:r>
              <w:t>research notes</w:t>
            </w:r>
          </w:p>
          <w:p w14:paraId="2B8E25F7" w14:textId="77777777" w:rsidR="00257247" w:rsidRPr="00257247" w:rsidRDefault="00257247" w:rsidP="00EA4C66">
            <w:pPr>
              <w:pStyle w:val="ListParagraph"/>
              <w:numPr>
                <w:ilvl w:val="0"/>
                <w:numId w:val="40"/>
              </w:numPr>
              <w:spacing w:after="0" w:line="240" w:lineRule="auto"/>
              <w:rPr>
                <w:b/>
              </w:rPr>
            </w:pPr>
            <w:proofErr w:type="gramStart"/>
            <w:r>
              <w:t>printers</w:t>
            </w:r>
            <w:proofErr w:type="gramEnd"/>
            <w:r>
              <w:t xml:space="preserve"> galleys</w:t>
            </w:r>
          </w:p>
          <w:p w14:paraId="075343DC" w14:textId="77777777" w:rsidR="00257247" w:rsidRPr="00B64437" w:rsidRDefault="00257247" w:rsidP="00EA4C66">
            <w:pPr>
              <w:pStyle w:val="ListParagraph"/>
              <w:numPr>
                <w:ilvl w:val="0"/>
                <w:numId w:val="40"/>
              </w:numPr>
              <w:spacing w:after="0" w:line="240" w:lineRule="auto"/>
              <w:rPr>
                <w:b/>
              </w:rPr>
            </w:pPr>
            <w:r>
              <w:t>drafts and working copies (see Exclusion 3)</w:t>
            </w:r>
          </w:p>
          <w:p w14:paraId="205EFB35" w14:textId="77777777" w:rsidR="00EA4C66" w:rsidRPr="00EA4C66" w:rsidRDefault="00A36C2A" w:rsidP="00EA4C66">
            <w:pPr>
              <w:pStyle w:val="ListParagraph"/>
              <w:numPr>
                <w:ilvl w:val="0"/>
                <w:numId w:val="40"/>
              </w:numPr>
              <w:spacing w:after="0" w:line="240" w:lineRule="auto"/>
              <w:rPr>
                <w:b/>
              </w:rPr>
            </w:pPr>
            <w:r w:rsidRPr="00245F61">
              <w:rPr>
                <w:rFonts w:asciiTheme="minorHAnsi" w:hAnsiTheme="minorHAnsi" w:cs="Calibri"/>
                <w:color w:val="000000"/>
              </w:rPr>
              <w:t>preparatory or preliminary artwork or graphics</w:t>
            </w:r>
          </w:p>
          <w:p w14:paraId="76D7E124" w14:textId="77777777" w:rsidR="00DF4ADA" w:rsidRDefault="00EA4C66" w:rsidP="00EA4C66">
            <w:pPr>
              <w:pStyle w:val="ListParagraph"/>
              <w:numPr>
                <w:ilvl w:val="0"/>
                <w:numId w:val="40"/>
              </w:numPr>
              <w:spacing w:after="0" w:line="240" w:lineRule="auto"/>
              <w:rPr>
                <w:rFonts w:asciiTheme="minorHAnsi" w:hAnsiTheme="minorHAnsi" w:cs="TimesNewRomanPSMT"/>
              </w:rPr>
            </w:pPr>
            <w:r>
              <w:rPr>
                <w:rFonts w:asciiTheme="minorHAnsi" w:hAnsiTheme="minorHAnsi" w:cs="TimesNewRomanPSMT"/>
              </w:rPr>
              <w:t>b</w:t>
            </w:r>
            <w:r w:rsidRPr="00EA4C66">
              <w:rPr>
                <w:rFonts w:asciiTheme="minorHAnsi" w:hAnsiTheme="minorHAnsi" w:cs="TimesNewRomanPSMT"/>
              </w:rPr>
              <w:t>ibliographies, checklists, and indexes of agency publications and releases</w:t>
            </w:r>
            <w:r w:rsidR="00C22CA6">
              <w:rPr>
                <w:rFonts w:asciiTheme="minorHAnsi" w:hAnsiTheme="minorHAnsi" w:cs="TimesNewRomanPSMT"/>
              </w:rPr>
              <w:t xml:space="preserve"> (see Exclusion </w:t>
            </w:r>
            <w:r w:rsidR="00257247">
              <w:rPr>
                <w:rFonts w:asciiTheme="minorHAnsi" w:hAnsiTheme="minorHAnsi" w:cs="TimesNewRomanPSMT"/>
              </w:rPr>
              <w:t>4</w:t>
            </w:r>
            <w:r w:rsidR="00C22CA6">
              <w:rPr>
                <w:rFonts w:asciiTheme="minorHAnsi" w:hAnsiTheme="minorHAnsi" w:cs="TimesNewRomanPSMT"/>
              </w:rPr>
              <w:t>)</w:t>
            </w:r>
          </w:p>
          <w:p w14:paraId="52E50775" w14:textId="77777777" w:rsidR="00B64437" w:rsidRPr="00167E4A" w:rsidRDefault="00B64437" w:rsidP="00EA4C66">
            <w:pPr>
              <w:pStyle w:val="ListParagraph"/>
              <w:numPr>
                <w:ilvl w:val="0"/>
                <w:numId w:val="40"/>
              </w:numPr>
              <w:spacing w:after="0" w:line="240" w:lineRule="auto"/>
              <w:rPr>
                <w:rFonts w:asciiTheme="minorHAnsi" w:hAnsiTheme="minorHAnsi" w:cs="TimesNewRomanPSMT"/>
              </w:rPr>
            </w:pPr>
            <w:r>
              <w:rPr>
                <w:rFonts w:asciiTheme="minorHAnsi" w:hAnsiTheme="minorHAnsi" w:cs="TimesNewRomanPSMT"/>
              </w:rPr>
              <w:t>clearances related to release of products</w:t>
            </w:r>
            <w:r w:rsidR="00C22CA6">
              <w:rPr>
                <w:rFonts w:asciiTheme="minorHAnsi" w:hAnsiTheme="minorHAnsi" w:cs="TimesNewRomanPSMT"/>
              </w:rPr>
              <w:t xml:space="preserve"> (see Exclusion </w:t>
            </w:r>
            <w:r w:rsidR="00257247">
              <w:rPr>
                <w:rFonts w:asciiTheme="minorHAnsi" w:hAnsiTheme="minorHAnsi" w:cs="TimesNewRomanPSMT"/>
              </w:rPr>
              <w:t>5</w:t>
            </w:r>
            <w:r w:rsidR="00C22CA6">
              <w:rPr>
                <w:rFonts w:asciiTheme="minorHAnsi" w:hAnsiTheme="minorHAnsi" w:cs="TimesNewRomanPSMT"/>
              </w:rPr>
              <w:t xml:space="preserve"> and </w:t>
            </w:r>
            <w:r w:rsidR="00257247">
              <w:rPr>
                <w:rFonts w:asciiTheme="minorHAnsi" w:hAnsiTheme="minorHAnsi" w:cs="TimesNewRomanPSMT"/>
              </w:rPr>
              <w:t>6</w:t>
            </w:r>
            <w:r w:rsidR="00C22CA6">
              <w:rPr>
                <w:rFonts w:asciiTheme="minorHAnsi" w:hAnsiTheme="minorHAnsi" w:cs="TimesNewRomanPSMT"/>
              </w:rPr>
              <w:t>)</w:t>
            </w:r>
          </w:p>
          <w:p w14:paraId="375BE434" w14:textId="77777777" w:rsidR="00A36C2A" w:rsidRPr="00245F61" w:rsidRDefault="00A36C2A" w:rsidP="00B64437">
            <w:pPr>
              <w:spacing w:after="0" w:line="240" w:lineRule="auto"/>
              <w:rPr>
                <w:b/>
              </w:rPr>
            </w:pPr>
          </w:p>
          <w:p w14:paraId="5B4E6A6B" w14:textId="77777777" w:rsidR="00564C64" w:rsidRPr="00564C64" w:rsidRDefault="00564C64" w:rsidP="00245F61">
            <w:pPr>
              <w:spacing w:after="0" w:line="240" w:lineRule="auto"/>
              <w:ind w:left="328"/>
            </w:pPr>
            <w:r>
              <w:rPr>
                <w:b/>
              </w:rPr>
              <w:t xml:space="preserve">Note 1: </w:t>
            </w:r>
            <w:r w:rsidRPr="00564C64">
              <w:t>Agencies must offer any cartographic and aerial photographic records created before January 1, 1950, to the National Archives and Records Administration (NARA) before applying this disposition authority.</w:t>
            </w:r>
          </w:p>
          <w:p w14:paraId="6A55684E" w14:textId="77777777" w:rsidR="00564C64" w:rsidRDefault="00564C64" w:rsidP="00245F61">
            <w:pPr>
              <w:spacing w:after="0" w:line="240" w:lineRule="auto"/>
              <w:ind w:left="328"/>
              <w:rPr>
                <w:b/>
              </w:rPr>
            </w:pPr>
          </w:p>
          <w:p w14:paraId="698F6594" w14:textId="77777777" w:rsidR="00BD7CFC" w:rsidRPr="00245F61" w:rsidRDefault="00BD7CFC" w:rsidP="00245F61">
            <w:pPr>
              <w:spacing w:after="0" w:line="240" w:lineRule="auto"/>
              <w:ind w:left="328"/>
              <w:rPr>
                <w:b/>
              </w:rPr>
            </w:pPr>
            <w:r w:rsidRPr="00245F61">
              <w:rPr>
                <w:b/>
              </w:rPr>
              <w:lastRenderedPageBreak/>
              <w:t>Note</w:t>
            </w:r>
            <w:r w:rsidR="00564C64">
              <w:rPr>
                <w:b/>
              </w:rPr>
              <w:t xml:space="preserve"> 2</w:t>
            </w:r>
            <w:r w:rsidRPr="00245F61">
              <w:rPr>
                <w:b/>
              </w:rPr>
              <w:t xml:space="preserve">: </w:t>
            </w:r>
            <w:r w:rsidRPr="00245F61">
              <w:t>Now-obsolete forms of printing production materials (e.g., line and halftone negatives, screened paper prints, and offset lithographic plates</w:t>
            </w:r>
            <w:proofErr w:type="gramStart"/>
            <w:r w:rsidRPr="00245F61">
              <w:t>),  line</w:t>
            </w:r>
            <w:proofErr w:type="gramEnd"/>
            <w:r w:rsidRPr="00245F61">
              <w:t xml:space="preserve"> copies of graphs and charts, as well as cartographic records prepared during Intermediate stages of publication that may be found in older project files are temporary under this item. </w:t>
            </w:r>
            <w:r w:rsidRPr="00245F61">
              <w:rPr>
                <w:b/>
              </w:rPr>
              <w:t xml:space="preserve"> </w:t>
            </w:r>
          </w:p>
          <w:p w14:paraId="3D38D886" w14:textId="77777777" w:rsidR="00BD7CFC" w:rsidRPr="00245F61" w:rsidRDefault="00BD7CFC" w:rsidP="00245F61">
            <w:pPr>
              <w:spacing w:after="0" w:line="240" w:lineRule="auto"/>
              <w:ind w:left="328"/>
              <w:rPr>
                <w:b/>
              </w:rPr>
            </w:pPr>
          </w:p>
          <w:p w14:paraId="48D76CE3" w14:textId="77777777" w:rsidR="00CF10A9" w:rsidRDefault="00CF10A9" w:rsidP="00245F61">
            <w:pPr>
              <w:spacing w:after="0" w:line="240" w:lineRule="auto"/>
              <w:ind w:left="328"/>
            </w:pPr>
            <w:r w:rsidRPr="00245F61">
              <w:rPr>
                <w:b/>
              </w:rPr>
              <w:t>Exclusion</w:t>
            </w:r>
            <w:r w:rsidR="00275C5B" w:rsidRPr="00245F61">
              <w:rPr>
                <w:b/>
              </w:rPr>
              <w:t xml:space="preserve"> 1</w:t>
            </w:r>
            <w:r w:rsidRPr="00245F61">
              <w:rPr>
                <w:b/>
              </w:rPr>
              <w:t>:</w:t>
            </w:r>
            <w:r w:rsidRPr="00245F61">
              <w:t xml:space="preserve"> Final products such as speeches, publications, educational materials, agency histories, mission-related audiovisual materials</w:t>
            </w:r>
            <w:r w:rsidR="00A36C2A" w:rsidRPr="00245F61">
              <w:t xml:space="preserve"> including posters</w:t>
            </w:r>
            <w:r w:rsidRPr="00245F61">
              <w:t xml:space="preserve">, </w:t>
            </w:r>
            <w:proofErr w:type="gramStart"/>
            <w:r w:rsidRPr="00245F61">
              <w:t>conference</w:t>
            </w:r>
            <w:proofErr w:type="gramEnd"/>
            <w:r w:rsidRPr="00245F61">
              <w:t xml:space="preserve"> and public outreach materials.</w:t>
            </w:r>
            <w:r w:rsidR="00275C5B">
              <w:t xml:space="preserve"> </w:t>
            </w:r>
            <w:r w:rsidR="00981582">
              <w:t>The agency must schedule these records on an agency-specific schedule</w:t>
            </w:r>
            <w:r w:rsidR="00275C5B">
              <w:t>.</w:t>
            </w:r>
          </w:p>
          <w:p w14:paraId="0B792300" w14:textId="77777777" w:rsidR="0058392A" w:rsidRDefault="0058392A" w:rsidP="00CF10A9">
            <w:pPr>
              <w:spacing w:after="0" w:line="240" w:lineRule="auto"/>
              <w:ind w:left="328"/>
            </w:pPr>
          </w:p>
          <w:p w14:paraId="41406502" w14:textId="77777777" w:rsidR="0058392A" w:rsidRDefault="0058392A" w:rsidP="00CF10A9">
            <w:pPr>
              <w:spacing w:after="0" w:line="240" w:lineRule="auto"/>
              <w:ind w:left="328"/>
            </w:pPr>
            <w:r>
              <w:rPr>
                <w:b/>
              </w:rPr>
              <w:t>Exclusion 2:</w:t>
            </w:r>
            <w:r>
              <w:t xml:space="preserve"> </w:t>
            </w:r>
            <w:r w:rsidR="00981582">
              <w:t>This item does not include unique collections of records or original materials (such as interviews or oral histories) the agency assembles for research or final product development purposes. These records may have permanent value and the agency should schedule them on an agency-specific schedule.</w:t>
            </w:r>
          </w:p>
          <w:p w14:paraId="5E6FC56E" w14:textId="77777777" w:rsidR="00C22CA6" w:rsidRDefault="00C22CA6" w:rsidP="00CF10A9">
            <w:pPr>
              <w:spacing w:after="0" w:line="240" w:lineRule="auto"/>
              <w:ind w:left="328"/>
            </w:pPr>
          </w:p>
          <w:p w14:paraId="00F606A6" w14:textId="77777777" w:rsidR="00257247" w:rsidRDefault="00257247" w:rsidP="00257247">
            <w:pPr>
              <w:spacing w:after="0" w:line="240" w:lineRule="auto"/>
              <w:ind w:left="328"/>
            </w:pPr>
            <w:r>
              <w:rPr>
                <w:b/>
              </w:rPr>
              <w:t xml:space="preserve">Exclusion 3: </w:t>
            </w:r>
            <w:r>
              <w:t xml:space="preserve">This item does not include working papers or files that propose and evaluate options or alternatives and their implications in the development of high-level policies and decisions or that document findings or support recommendations. </w:t>
            </w:r>
          </w:p>
          <w:p w14:paraId="7969C12E" w14:textId="77777777" w:rsidR="00257247" w:rsidRDefault="00257247" w:rsidP="00CF10A9">
            <w:pPr>
              <w:spacing w:after="0" w:line="240" w:lineRule="auto"/>
              <w:ind w:left="328"/>
            </w:pPr>
          </w:p>
          <w:p w14:paraId="6924E85D" w14:textId="77777777" w:rsidR="00C22CA6" w:rsidRDefault="00C22CA6" w:rsidP="00C22CA6">
            <w:pPr>
              <w:spacing w:after="0" w:line="240" w:lineRule="auto"/>
              <w:ind w:left="335"/>
              <w:rPr>
                <w:rFonts w:asciiTheme="minorHAnsi" w:hAnsiTheme="minorHAnsi" w:cs="TimesNewRomanPSMT"/>
              </w:rPr>
            </w:pPr>
            <w:r w:rsidRPr="00C22CA6">
              <w:rPr>
                <w:b/>
              </w:rPr>
              <w:t xml:space="preserve">Exclusion </w:t>
            </w:r>
            <w:r w:rsidR="00257247">
              <w:rPr>
                <w:b/>
              </w:rPr>
              <w:t>4</w:t>
            </w:r>
            <w:r w:rsidRPr="00C22CA6">
              <w:rPr>
                <w:b/>
              </w:rPr>
              <w:t xml:space="preserve">: </w:t>
            </w:r>
            <w:r>
              <w:t xml:space="preserve">This item does not include bibliographies, checklists or indexes </w:t>
            </w:r>
            <w:r w:rsidRPr="00C22CA6">
              <w:rPr>
                <w:rFonts w:asciiTheme="minorHAnsi" w:hAnsiTheme="minorHAnsi" w:cs="TimesNewRomanPSMT"/>
              </w:rPr>
              <w:t>relating to record</w:t>
            </w:r>
            <w:r>
              <w:rPr>
                <w:rFonts w:asciiTheme="minorHAnsi" w:hAnsiTheme="minorHAnsi" w:cs="TimesNewRomanPSMT"/>
              </w:rPr>
              <w:t>s</w:t>
            </w:r>
            <w:r w:rsidRPr="00C22CA6">
              <w:rPr>
                <w:rFonts w:asciiTheme="minorHAnsi" w:hAnsiTheme="minorHAnsi" w:cs="TimesNewRomanPSMT"/>
              </w:rPr>
              <w:t xml:space="preserve"> scheduled as permanent</w:t>
            </w:r>
            <w:r>
              <w:rPr>
                <w:rFonts w:asciiTheme="minorHAnsi" w:hAnsiTheme="minorHAnsi" w:cs="TimesNewRomanPSMT"/>
              </w:rPr>
              <w:t>, such as permanent publications.</w:t>
            </w:r>
          </w:p>
          <w:p w14:paraId="47F31752" w14:textId="77777777" w:rsidR="00C22CA6" w:rsidRDefault="00C22CA6" w:rsidP="00C22CA6">
            <w:pPr>
              <w:spacing w:after="0" w:line="240" w:lineRule="auto"/>
              <w:ind w:left="335"/>
              <w:rPr>
                <w:b/>
              </w:rPr>
            </w:pPr>
          </w:p>
          <w:p w14:paraId="53D26EF8" w14:textId="77777777" w:rsidR="00C22CA6" w:rsidRDefault="00257247" w:rsidP="00C22CA6">
            <w:pPr>
              <w:spacing w:after="0" w:line="240" w:lineRule="auto"/>
              <w:ind w:left="335"/>
            </w:pPr>
            <w:r>
              <w:rPr>
                <w:b/>
              </w:rPr>
              <w:t>Exclusion 5</w:t>
            </w:r>
            <w:r w:rsidR="00C22CA6">
              <w:rPr>
                <w:b/>
              </w:rPr>
              <w:t xml:space="preserve">: </w:t>
            </w:r>
            <w:r w:rsidR="00C22CA6">
              <w:t>Records relating to obtaining approval or clearance for releasing information from other agencies or outside organizations, such as foreign governments, must be scheduled on an agency specific schedule.</w:t>
            </w:r>
          </w:p>
          <w:p w14:paraId="4AF7F330" w14:textId="77777777" w:rsidR="00C22CA6" w:rsidRDefault="00C22CA6" w:rsidP="00C22CA6">
            <w:pPr>
              <w:spacing w:after="0" w:line="240" w:lineRule="auto"/>
              <w:ind w:left="335"/>
              <w:rPr>
                <w:rFonts w:asciiTheme="minorHAnsi" w:hAnsiTheme="minorHAnsi" w:cs="TimesNewRomanPSMT"/>
              </w:rPr>
            </w:pPr>
          </w:p>
          <w:p w14:paraId="25396323" w14:textId="77777777" w:rsidR="00685EB9" w:rsidRDefault="00257247" w:rsidP="00E259F8">
            <w:pPr>
              <w:spacing w:after="0" w:line="240" w:lineRule="auto"/>
              <w:ind w:left="335"/>
            </w:pPr>
            <w:r>
              <w:rPr>
                <w:b/>
              </w:rPr>
              <w:t>Exclusion 6</w:t>
            </w:r>
            <w:r w:rsidR="00C22CA6">
              <w:rPr>
                <w:b/>
              </w:rPr>
              <w:t>:</w:t>
            </w:r>
            <w:r w:rsidR="00C22CA6">
              <w:t xml:space="preserve"> This item does not cover clearances for release of information related to declassification review.</w:t>
            </w:r>
          </w:p>
          <w:p w14:paraId="259D025E" w14:textId="77777777" w:rsidR="004633CB" w:rsidRPr="00685EB9" w:rsidRDefault="004633CB" w:rsidP="00E259F8">
            <w:pPr>
              <w:spacing w:after="0" w:line="240" w:lineRule="auto"/>
              <w:ind w:left="335"/>
            </w:pPr>
          </w:p>
        </w:tc>
        <w:tc>
          <w:tcPr>
            <w:tcW w:w="2430" w:type="dxa"/>
          </w:tcPr>
          <w:p w14:paraId="1370A306" w14:textId="77777777" w:rsidR="00CF10A9" w:rsidRDefault="00CF10A9" w:rsidP="00245F61">
            <w:pPr>
              <w:pStyle w:val="Normal1"/>
              <w:spacing w:after="0" w:line="240" w:lineRule="auto"/>
            </w:pPr>
            <w:r>
              <w:rPr>
                <w:b/>
              </w:rPr>
              <w:lastRenderedPageBreak/>
              <w:t>Temporary.</w:t>
            </w:r>
            <w:r>
              <w:t xml:space="preserve"> Destroy </w:t>
            </w:r>
            <w:r w:rsidR="005520D0">
              <w:t>when no longer needed for business use</w:t>
            </w:r>
            <w:r>
              <w:t>.</w:t>
            </w:r>
          </w:p>
          <w:p w14:paraId="632ACC9C" w14:textId="77777777" w:rsidR="00CF10A9" w:rsidRPr="006C53EA" w:rsidRDefault="00CF10A9" w:rsidP="00CF10A9">
            <w:pPr>
              <w:spacing w:after="0" w:line="240" w:lineRule="auto"/>
              <w:rPr>
                <w:rFonts w:asciiTheme="minorHAnsi" w:hAnsiTheme="minorHAnsi"/>
              </w:rPr>
            </w:pPr>
          </w:p>
        </w:tc>
        <w:tc>
          <w:tcPr>
            <w:tcW w:w="1350" w:type="dxa"/>
          </w:tcPr>
          <w:p w14:paraId="7BF855AF" w14:textId="77777777" w:rsidR="00CF10A9" w:rsidRPr="006C53EA" w:rsidRDefault="00F16E46" w:rsidP="00B07F44">
            <w:pPr>
              <w:spacing w:after="0" w:line="240" w:lineRule="auto"/>
              <w:rPr>
                <w:rFonts w:asciiTheme="minorHAnsi" w:hAnsiTheme="minorHAnsi" w:cstheme="minorHAnsi"/>
              </w:rPr>
            </w:pPr>
            <w:r w:rsidRPr="006C53EA">
              <w:rPr>
                <w:rFonts w:asciiTheme="minorHAnsi" w:hAnsiTheme="minorHAnsi" w:cstheme="minorHAnsi"/>
              </w:rPr>
              <w:t>DAA-GRS-20</w:t>
            </w:r>
            <w:r>
              <w:rPr>
                <w:rFonts w:asciiTheme="minorHAnsi" w:hAnsiTheme="minorHAnsi" w:cstheme="minorHAnsi"/>
              </w:rPr>
              <w:t>16-0005</w:t>
            </w:r>
            <w:r w:rsidRPr="006C53EA">
              <w:rPr>
                <w:rFonts w:asciiTheme="minorHAnsi" w:hAnsiTheme="minorHAnsi" w:cstheme="minorHAnsi"/>
              </w:rPr>
              <w:t>-</w:t>
            </w:r>
            <w:r w:rsidR="007B726A">
              <w:rPr>
                <w:rFonts w:asciiTheme="minorHAnsi" w:hAnsiTheme="minorHAnsi" w:cstheme="minorHAnsi"/>
              </w:rPr>
              <w:t>000</w:t>
            </w:r>
            <w:r w:rsidR="00B07F44">
              <w:rPr>
                <w:rFonts w:asciiTheme="minorHAnsi" w:hAnsiTheme="minorHAnsi" w:cstheme="minorHAnsi"/>
              </w:rPr>
              <w:t>3</w:t>
            </w:r>
          </w:p>
        </w:tc>
      </w:tr>
      <w:tr w:rsidR="00CF10A9" w:rsidRPr="006C53EA" w14:paraId="15F4C5C5" w14:textId="77777777" w:rsidTr="004633CB">
        <w:tc>
          <w:tcPr>
            <w:tcW w:w="720" w:type="dxa"/>
          </w:tcPr>
          <w:p w14:paraId="6165A401" w14:textId="77777777" w:rsidR="00CF10A9" w:rsidRPr="006C53EA" w:rsidRDefault="00CF10A9" w:rsidP="00632350">
            <w:pPr>
              <w:spacing w:after="0" w:line="240" w:lineRule="auto"/>
              <w:jc w:val="center"/>
              <w:rPr>
                <w:rFonts w:asciiTheme="minorHAnsi" w:hAnsiTheme="minorHAnsi"/>
              </w:rPr>
            </w:pPr>
            <w:r>
              <w:rPr>
                <w:rFonts w:asciiTheme="minorHAnsi" w:hAnsiTheme="minorHAnsi"/>
              </w:rPr>
              <w:t>040</w:t>
            </w:r>
          </w:p>
        </w:tc>
        <w:tc>
          <w:tcPr>
            <w:tcW w:w="9990" w:type="dxa"/>
          </w:tcPr>
          <w:p w14:paraId="1351B1CE" w14:textId="77777777" w:rsidR="00CF10A9" w:rsidRDefault="00617C06" w:rsidP="00076098">
            <w:pPr>
              <w:spacing w:after="0" w:line="240" w:lineRule="auto"/>
              <w:ind w:left="11"/>
              <w:rPr>
                <w:rFonts w:asciiTheme="minorHAnsi" w:hAnsiTheme="minorHAnsi" w:cs="TimesNewRomanPSMT"/>
                <w:b/>
              </w:rPr>
            </w:pPr>
            <w:r>
              <w:rPr>
                <w:rFonts w:asciiTheme="minorHAnsi" w:hAnsiTheme="minorHAnsi" w:cs="TimesNewRomanPSMT"/>
                <w:b/>
              </w:rPr>
              <w:t>Routine m</w:t>
            </w:r>
            <w:r w:rsidR="00CF10A9">
              <w:rPr>
                <w:rFonts w:asciiTheme="minorHAnsi" w:hAnsiTheme="minorHAnsi" w:cs="TimesNewRomanPSMT"/>
                <w:b/>
              </w:rPr>
              <w:t>edia relations records.</w:t>
            </w:r>
          </w:p>
          <w:p w14:paraId="401ED8F1" w14:textId="77777777" w:rsidR="00CF10A9" w:rsidRDefault="00CF10A9" w:rsidP="00433F29">
            <w:pPr>
              <w:spacing w:after="0" w:line="240" w:lineRule="auto"/>
              <w:ind w:left="335"/>
              <w:rPr>
                <w:rFonts w:asciiTheme="minorHAnsi" w:hAnsiTheme="minorHAnsi" w:cs="TimesNewRomanPSMT"/>
              </w:rPr>
            </w:pPr>
            <w:r>
              <w:rPr>
                <w:rFonts w:asciiTheme="minorHAnsi" w:hAnsiTheme="minorHAnsi" w:cs="TimesNewRomanPSMT"/>
              </w:rPr>
              <w:t xml:space="preserve">Records </w:t>
            </w:r>
            <w:r w:rsidR="00981582">
              <w:rPr>
                <w:rFonts w:asciiTheme="minorHAnsi" w:hAnsiTheme="minorHAnsi" w:cs="TimesNewRomanPSMT"/>
              </w:rPr>
              <w:t>of</w:t>
            </w:r>
            <w:r>
              <w:rPr>
                <w:rFonts w:asciiTheme="minorHAnsi" w:hAnsiTheme="minorHAnsi" w:cs="TimesNewRomanPSMT"/>
              </w:rPr>
              <w:t xml:space="preserve"> interactions with the press or media</w:t>
            </w:r>
            <w:r w:rsidR="00617C06">
              <w:rPr>
                <w:rFonts w:asciiTheme="minorHAnsi" w:hAnsiTheme="minorHAnsi" w:cs="TimesNewRomanPSMT"/>
              </w:rPr>
              <w:t xml:space="preserve"> that contain duplicate, minimal, or limited information</w:t>
            </w:r>
            <w:r>
              <w:rPr>
                <w:rFonts w:asciiTheme="minorHAnsi" w:hAnsiTheme="minorHAnsi" w:cs="TimesNewRomanPSMT"/>
              </w:rPr>
              <w:t>, such as:</w:t>
            </w:r>
          </w:p>
          <w:p w14:paraId="7A757CB9" w14:textId="77777777" w:rsidR="00CF10A9" w:rsidRDefault="00B1000E" w:rsidP="00361720">
            <w:pPr>
              <w:pStyle w:val="ListParagraph"/>
              <w:numPr>
                <w:ilvl w:val="0"/>
                <w:numId w:val="24"/>
              </w:numPr>
              <w:spacing w:after="0" w:line="240" w:lineRule="auto"/>
              <w:ind w:left="695"/>
              <w:rPr>
                <w:rFonts w:asciiTheme="minorHAnsi" w:hAnsiTheme="minorHAnsi" w:cs="TimesNewRomanPSMT"/>
              </w:rPr>
            </w:pPr>
            <w:r>
              <w:rPr>
                <w:rFonts w:asciiTheme="minorHAnsi" w:hAnsiTheme="minorHAnsi" w:cs="TimesNewRomanPSMT"/>
              </w:rPr>
              <w:t>requests and responses</w:t>
            </w:r>
            <w:r w:rsidR="00CF10A9">
              <w:rPr>
                <w:rFonts w:asciiTheme="minorHAnsi" w:hAnsiTheme="minorHAnsi" w:cs="TimesNewRomanPSMT"/>
              </w:rPr>
              <w:t xml:space="preserve"> for interviews</w:t>
            </w:r>
          </w:p>
          <w:p w14:paraId="083EC9FC" w14:textId="77777777" w:rsidR="00CF10A9" w:rsidRDefault="00B1000E" w:rsidP="00361720">
            <w:pPr>
              <w:pStyle w:val="ListParagraph"/>
              <w:numPr>
                <w:ilvl w:val="0"/>
                <w:numId w:val="24"/>
              </w:numPr>
              <w:spacing w:after="0" w:line="240" w:lineRule="auto"/>
              <w:ind w:left="695"/>
              <w:rPr>
                <w:rFonts w:asciiTheme="minorHAnsi" w:hAnsiTheme="minorHAnsi" w:cs="TimesNewRomanPSMT"/>
              </w:rPr>
            </w:pPr>
            <w:r>
              <w:rPr>
                <w:rFonts w:asciiTheme="minorHAnsi" w:hAnsiTheme="minorHAnsi" w:cs="TimesNewRomanPSMT"/>
              </w:rPr>
              <w:t xml:space="preserve">requests and </w:t>
            </w:r>
            <w:r w:rsidR="00CF10A9">
              <w:rPr>
                <w:rFonts w:asciiTheme="minorHAnsi" w:hAnsiTheme="minorHAnsi" w:cs="TimesNewRomanPSMT"/>
              </w:rPr>
              <w:t>r</w:t>
            </w:r>
            <w:r>
              <w:rPr>
                <w:rFonts w:asciiTheme="minorHAnsi" w:hAnsiTheme="minorHAnsi" w:cs="TimesNewRomanPSMT"/>
              </w:rPr>
              <w:t>esponses</w:t>
            </w:r>
            <w:r w:rsidR="00CF10A9" w:rsidRPr="007C2B5F">
              <w:rPr>
                <w:rFonts w:asciiTheme="minorHAnsi" w:hAnsiTheme="minorHAnsi" w:cs="TimesNewRomanPSMT"/>
              </w:rPr>
              <w:t xml:space="preserve"> for information or assistance for media stories</w:t>
            </w:r>
          </w:p>
          <w:p w14:paraId="6BD776ED" w14:textId="77777777" w:rsidR="00CF10A9" w:rsidRPr="007C2B5F" w:rsidRDefault="00CF10A9" w:rsidP="00361720">
            <w:pPr>
              <w:pStyle w:val="ListParagraph"/>
              <w:numPr>
                <w:ilvl w:val="0"/>
                <w:numId w:val="24"/>
              </w:numPr>
              <w:spacing w:after="0" w:line="240" w:lineRule="auto"/>
              <w:ind w:left="695"/>
              <w:rPr>
                <w:rFonts w:asciiTheme="minorHAnsi" w:hAnsiTheme="minorHAnsi" w:cs="TimesNewRomanPSMT"/>
              </w:rPr>
            </w:pPr>
            <w:r>
              <w:lastRenderedPageBreak/>
              <w:t>d</w:t>
            </w:r>
            <w:r w:rsidRPr="007C2B5F">
              <w:t xml:space="preserve">aily or </w:t>
            </w:r>
            <w:r>
              <w:t xml:space="preserve">spot news recordings </w:t>
            </w:r>
            <w:r w:rsidR="00B1000E">
              <w:t xml:space="preserve">or videos </w:t>
            </w:r>
            <w:r>
              <w:t>available to local r</w:t>
            </w:r>
            <w:r w:rsidRPr="007C2B5F">
              <w:t>adio</w:t>
            </w:r>
            <w:r w:rsidR="00B1000E">
              <w:t xml:space="preserve"> and TV</w:t>
            </w:r>
            <w:r w:rsidRPr="007C2B5F">
              <w:t xml:space="preserve"> </w:t>
            </w:r>
            <w:r>
              <w:t>s</w:t>
            </w:r>
            <w:r w:rsidRPr="007C2B5F">
              <w:t>tations</w:t>
            </w:r>
          </w:p>
          <w:p w14:paraId="43FA4CA5" w14:textId="77777777" w:rsidR="00CF10A9" w:rsidRDefault="00CF10A9" w:rsidP="00361720">
            <w:pPr>
              <w:pStyle w:val="ListParagraph"/>
              <w:numPr>
                <w:ilvl w:val="0"/>
                <w:numId w:val="24"/>
              </w:numPr>
              <w:spacing w:after="0" w:line="240" w:lineRule="auto"/>
              <w:ind w:left="695"/>
              <w:rPr>
                <w:rFonts w:asciiTheme="minorHAnsi" w:hAnsiTheme="minorHAnsi" w:cs="TimesNewRomanPSMT"/>
              </w:rPr>
            </w:pPr>
            <w:r>
              <w:rPr>
                <w:rFonts w:asciiTheme="minorHAnsi" w:hAnsiTheme="minorHAnsi" w:cs="TimesNewRomanPSMT"/>
              </w:rPr>
              <w:t>notices or announcements of media events</w:t>
            </w:r>
          </w:p>
          <w:p w14:paraId="745B3B2B" w14:textId="77777777" w:rsidR="00CF10A9" w:rsidRDefault="00CF10A9" w:rsidP="00361720">
            <w:pPr>
              <w:pStyle w:val="ListParagraph"/>
              <w:numPr>
                <w:ilvl w:val="0"/>
                <w:numId w:val="24"/>
              </w:numPr>
              <w:spacing w:after="0" w:line="240" w:lineRule="auto"/>
              <w:ind w:left="695"/>
              <w:rPr>
                <w:rFonts w:asciiTheme="minorHAnsi" w:hAnsiTheme="minorHAnsi" w:cs="TimesNewRomanPSMT"/>
              </w:rPr>
            </w:pPr>
            <w:r>
              <w:rPr>
                <w:rFonts w:asciiTheme="minorHAnsi" w:hAnsiTheme="minorHAnsi" w:cs="TimesNewRomanPSMT"/>
              </w:rPr>
              <w:t>public service announcements</w:t>
            </w:r>
          </w:p>
          <w:p w14:paraId="6AF9C9AB" w14:textId="77777777" w:rsidR="00CF10A9" w:rsidRDefault="00CF10A9" w:rsidP="00361720">
            <w:pPr>
              <w:pStyle w:val="ListParagraph"/>
              <w:numPr>
                <w:ilvl w:val="0"/>
                <w:numId w:val="24"/>
              </w:numPr>
              <w:spacing w:after="0" w:line="240" w:lineRule="auto"/>
              <w:ind w:left="695"/>
              <w:rPr>
                <w:rFonts w:asciiTheme="minorHAnsi" w:hAnsiTheme="minorHAnsi" w:cs="TimesNewRomanPSMT"/>
              </w:rPr>
            </w:pPr>
            <w:r>
              <w:rPr>
                <w:rFonts w:asciiTheme="minorHAnsi" w:hAnsiTheme="minorHAnsi" w:cs="TimesNewRomanPSMT"/>
              </w:rPr>
              <w:t>copies or articles created by the agency for publication in news media</w:t>
            </w:r>
          </w:p>
          <w:p w14:paraId="0BBA9870" w14:textId="77777777" w:rsidR="00CF10A9" w:rsidRDefault="00CF10A9" w:rsidP="007C2B5F">
            <w:pPr>
              <w:spacing w:after="0" w:line="240" w:lineRule="auto"/>
              <w:ind w:left="328"/>
            </w:pPr>
          </w:p>
          <w:p w14:paraId="1076C925" w14:textId="77777777" w:rsidR="00CF10A9" w:rsidRDefault="009C4E38" w:rsidP="00E259F8">
            <w:pPr>
              <w:spacing w:after="0" w:line="240" w:lineRule="auto"/>
              <w:ind w:left="328"/>
            </w:pPr>
            <w:r>
              <w:rPr>
                <w:b/>
              </w:rPr>
              <w:t xml:space="preserve">Exclusion: </w:t>
            </w:r>
            <w:r>
              <w:t>Transcripts of press conferences or press briefings, briefing books, and press releases are not covered by this item and must be scheduled by the agency</w:t>
            </w:r>
            <w:r w:rsidR="00981582">
              <w:t xml:space="preserve"> on an agency-specific schedule</w:t>
            </w:r>
            <w:r>
              <w:t>.</w:t>
            </w:r>
          </w:p>
          <w:p w14:paraId="380F5CB8" w14:textId="77777777" w:rsidR="004633CB" w:rsidRPr="00E259F8" w:rsidRDefault="004633CB" w:rsidP="00E259F8">
            <w:pPr>
              <w:spacing w:after="0" w:line="240" w:lineRule="auto"/>
              <w:ind w:left="328"/>
            </w:pPr>
          </w:p>
        </w:tc>
        <w:tc>
          <w:tcPr>
            <w:tcW w:w="2430" w:type="dxa"/>
          </w:tcPr>
          <w:p w14:paraId="4064D53D" w14:textId="77777777" w:rsidR="00CF10A9" w:rsidRPr="00433F29" w:rsidRDefault="00CF10A9" w:rsidP="007C27B1">
            <w:pPr>
              <w:spacing w:after="0" w:line="240" w:lineRule="auto"/>
              <w:rPr>
                <w:rFonts w:asciiTheme="minorHAnsi" w:hAnsiTheme="minorHAnsi"/>
                <w:b/>
              </w:rPr>
            </w:pPr>
            <w:r w:rsidRPr="00433F29">
              <w:rPr>
                <w:rFonts w:asciiTheme="minorHAnsi" w:hAnsiTheme="minorHAnsi"/>
                <w:b/>
              </w:rPr>
              <w:lastRenderedPageBreak/>
              <w:t xml:space="preserve">Temporary. </w:t>
            </w:r>
            <w:r w:rsidRPr="00433F29">
              <w:rPr>
                <w:rFonts w:asciiTheme="minorHAnsi" w:hAnsiTheme="minorHAnsi"/>
              </w:rPr>
              <w:t xml:space="preserve">Destroy when </w:t>
            </w:r>
            <w:r w:rsidR="000F569D">
              <w:rPr>
                <w:rFonts w:asciiTheme="minorHAnsi" w:hAnsiTheme="minorHAnsi"/>
              </w:rPr>
              <w:t>no longer needed for business use.</w:t>
            </w:r>
          </w:p>
          <w:p w14:paraId="77554931" w14:textId="77777777" w:rsidR="00CF10A9" w:rsidRPr="006C53EA" w:rsidRDefault="00CF10A9" w:rsidP="00DF0D94">
            <w:pPr>
              <w:spacing w:after="0" w:line="240" w:lineRule="auto"/>
              <w:rPr>
                <w:rFonts w:asciiTheme="minorHAnsi" w:hAnsiTheme="minorHAnsi"/>
              </w:rPr>
            </w:pPr>
          </w:p>
        </w:tc>
        <w:tc>
          <w:tcPr>
            <w:tcW w:w="1350" w:type="dxa"/>
          </w:tcPr>
          <w:p w14:paraId="1DE5DA4F" w14:textId="77777777" w:rsidR="00CF10A9" w:rsidRPr="006C53EA" w:rsidRDefault="00F16E46" w:rsidP="00B07F44">
            <w:pPr>
              <w:spacing w:after="0" w:line="240" w:lineRule="auto"/>
              <w:rPr>
                <w:rFonts w:asciiTheme="minorHAnsi" w:hAnsiTheme="minorHAnsi" w:cstheme="minorHAnsi"/>
              </w:rPr>
            </w:pPr>
            <w:r w:rsidRPr="006C53EA">
              <w:rPr>
                <w:rFonts w:asciiTheme="minorHAnsi" w:hAnsiTheme="minorHAnsi" w:cstheme="minorHAnsi"/>
              </w:rPr>
              <w:t>DAA-GRS-20</w:t>
            </w:r>
            <w:r>
              <w:rPr>
                <w:rFonts w:asciiTheme="minorHAnsi" w:hAnsiTheme="minorHAnsi" w:cstheme="minorHAnsi"/>
              </w:rPr>
              <w:t>16-0005</w:t>
            </w:r>
            <w:r w:rsidRPr="006C53EA">
              <w:rPr>
                <w:rFonts w:asciiTheme="minorHAnsi" w:hAnsiTheme="minorHAnsi" w:cstheme="minorHAnsi"/>
              </w:rPr>
              <w:t>-</w:t>
            </w:r>
            <w:r w:rsidR="007B726A">
              <w:rPr>
                <w:rFonts w:asciiTheme="minorHAnsi" w:hAnsiTheme="minorHAnsi" w:cstheme="minorHAnsi"/>
              </w:rPr>
              <w:t>000</w:t>
            </w:r>
            <w:r w:rsidR="00B07F44">
              <w:rPr>
                <w:rFonts w:asciiTheme="minorHAnsi" w:hAnsiTheme="minorHAnsi" w:cstheme="minorHAnsi"/>
              </w:rPr>
              <w:t>4</w:t>
            </w:r>
          </w:p>
        </w:tc>
      </w:tr>
      <w:tr w:rsidR="00CF10A9" w:rsidRPr="006C53EA" w14:paraId="48D5DAB8" w14:textId="77777777" w:rsidTr="004633CB">
        <w:tc>
          <w:tcPr>
            <w:tcW w:w="720" w:type="dxa"/>
          </w:tcPr>
          <w:p w14:paraId="6A53CB77" w14:textId="77777777" w:rsidR="00CF10A9" w:rsidRDefault="00CF10A9" w:rsidP="00C22CA6">
            <w:pPr>
              <w:spacing w:after="0" w:line="240" w:lineRule="auto"/>
              <w:jc w:val="center"/>
              <w:rPr>
                <w:rFonts w:asciiTheme="minorHAnsi" w:hAnsiTheme="minorHAnsi"/>
              </w:rPr>
            </w:pPr>
            <w:r>
              <w:rPr>
                <w:rFonts w:asciiTheme="minorHAnsi" w:hAnsiTheme="minorHAnsi"/>
              </w:rPr>
              <w:t>0</w:t>
            </w:r>
            <w:r w:rsidR="00C22CA6">
              <w:rPr>
                <w:rFonts w:asciiTheme="minorHAnsi" w:hAnsiTheme="minorHAnsi"/>
              </w:rPr>
              <w:t>5</w:t>
            </w:r>
            <w:r>
              <w:rPr>
                <w:rFonts w:asciiTheme="minorHAnsi" w:hAnsiTheme="minorHAnsi"/>
              </w:rPr>
              <w:t>0</w:t>
            </w:r>
          </w:p>
        </w:tc>
        <w:tc>
          <w:tcPr>
            <w:tcW w:w="9990" w:type="dxa"/>
          </w:tcPr>
          <w:p w14:paraId="2BB17736" w14:textId="77777777" w:rsidR="00F541D9" w:rsidRDefault="00CF10A9" w:rsidP="00245F61">
            <w:pPr>
              <w:spacing w:after="0" w:line="240" w:lineRule="auto"/>
              <w:ind w:left="11"/>
              <w:rPr>
                <w:rFonts w:asciiTheme="minorHAnsi" w:hAnsiTheme="minorHAnsi" w:cs="TimesNewRomanPSMT"/>
                <w:b/>
              </w:rPr>
            </w:pPr>
            <w:r>
              <w:rPr>
                <w:rFonts w:asciiTheme="minorHAnsi" w:hAnsiTheme="minorHAnsi" w:cs="TimesNewRomanPSMT"/>
                <w:b/>
              </w:rPr>
              <w:t>Routine audiovisual records.</w:t>
            </w:r>
          </w:p>
          <w:p w14:paraId="52372A6F" w14:textId="77777777" w:rsidR="0072529C" w:rsidRPr="00F541D9" w:rsidRDefault="00F541D9" w:rsidP="00245F61">
            <w:pPr>
              <w:spacing w:after="0" w:line="240" w:lineRule="auto"/>
              <w:ind w:left="335"/>
              <w:rPr>
                <w:rFonts w:asciiTheme="minorHAnsi" w:hAnsiTheme="minorHAnsi" w:cs="TimesNewRomanPSMT"/>
                <w:b/>
              </w:rPr>
            </w:pPr>
            <w:r>
              <w:t>P</w:t>
            </w:r>
            <w:r w:rsidR="00CF10A9">
              <w:t>hotographs</w:t>
            </w:r>
            <w:r w:rsidR="00617C06">
              <w:t xml:space="preserve"> or audiovisual recordings</w:t>
            </w:r>
            <w:r w:rsidR="00CF10A9">
              <w:t xml:space="preserve"> of </w:t>
            </w:r>
            <w:r w:rsidR="00E73705">
              <w:t xml:space="preserve">routine award ceremonies, </w:t>
            </w:r>
            <w:r w:rsidR="00617C06">
              <w:t xml:space="preserve">retirement ceremonies, </w:t>
            </w:r>
            <w:r w:rsidR="00E73705">
              <w:t>social events, and activities not related to the mission of the a</w:t>
            </w:r>
            <w:r w:rsidR="00CF10A9">
              <w:t>gency</w:t>
            </w:r>
            <w:r>
              <w:t xml:space="preserve">. Also included are </w:t>
            </w:r>
            <w:r w:rsidR="0072529C">
              <w:rPr>
                <w:rFonts w:asciiTheme="minorHAnsi" w:hAnsiTheme="minorHAnsi" w:cs="TimesNewRomanPSMT"/>
              </w:rPr>
              <w:t>production files or similar files that document origin, development, acquisition, u</w:t>
            </w:r>
            <w:r w:rsidR="0072529C" w:rsidRPr="0072529C">
              <w:rPr>
                <w:rFonts w:asciiTheme="minorHAnsi" w:hAnsiTheme="minorHAnsi" w:cs="TimesNewRomanPSMT"/>
              </w:rPr>
              <w:t>se, and</w:t>
            </w:r>
            <w:r>
              <w:rPr>
                <w:rFonts w:asciiTheme="minorHAnsi" w:hAnsiTheme="minorHAnsi" w:cs="TimesNewRomanPSMT"/>
              </w:rPr>
              <w:t xml:space="preserve"> </w:t>
            </w:r>
            <w:r w:rsidR="0072529C">
              <w:rPr>
                <w:rFonts w:asciiTheme="minorHAnsi" w:hAnsiTheme="minorHAnsi" w:cs="TimesNewRomanPSMT"/>
              </w:rPr>
              <w:t>ownership of temporary audiovisual r</w:t>
            </w:r>
            <w:r w:rsidR="0072529C" w:rsidRPr="0072529C">
              <w:rPr>
                <w:rFonts w:asciiTheme="minorHAnsi" w:hAnsiTheme="minorHAnsi" w:cs="TimesNewRomanPSMT"/>
              </w:rPr>
              <w:t>ecords</w:t>
            </w:r>
            <w:r>
              <w:rPr>
                <w:rFonts w:asciiTheme="minorHAnsi" w:hAnsiTheme="minorHAnsi" w:cs="TimesNewRomanPSMT"/>
              </w:rPr>
              <w:t>.</w:t>
            </w:r>
          </w:p>
          <w:p w14:paraId="2963B9AB" w14:textId="77777777" w:rsidR="00CF10A9" w:rsidRDefault="00CF10A9" w:rsidP="00245F61">
            <w:pPr>
              <w:spacing w:after="0" w:line="240" w:lineRule="auto"/>
              <w:ind w:left="328"/>
              <w:rPr>
                <w:b/>
              </w:rPr>
            </w:pPr>
          </w:p>
          <w:p w14:paraId="71D6AAB0" w14:textId="77777777" w:rsidR="00015D7D" w:rsidRPr="00E259F8" w:rsidRDefault="00BD7CFC" w:rsidP="00E259F8">
            <w:pPr>
              <w:spacing w:after="0" w:line="240" w:lineRule="auto"/>
              <w:ind w:left="328"/>
              <w:rPr>
                <w:b/>
              </w:rPr>
            </w:pPr>
            <w:r>
              <w:rPr>
                <w:b/>
              </w:rPr>
              <w:t>N</w:t>
            </w:r>
            <w:r w:rsidRPr="00BD7CFC">
              <w:rPr>
                <w:b/>
              </w:rPr>
              <w:t xml:space="preserve">ote: </w:t>
            </w:r>
            <w:r w:rsidRPr="00BD7CFC">
              <w:t>A</w:t>
            </w:r>
            <w:r w:rsidRPr="00BD7CFC">
              <w:rPr>
                <w:rFonts w:asciiTheme="minorHAnsi" w:hAnsiTheme="minorHAnsi"/>
              </w:rPr>
              <w:t>ny instances of the now-obsolete form, viewgraphs, found in older audiovisual files are also temporary under this item.</w:t>
            </w:r>
          </w:p>
        </w:tc>
        <w:tc>
          <w:tcPr>
            <w:tcW w:w="2430" w:type="dxa"/>
          </w:tcPr>
          <w:p w14:paraId="535F0C69" w14:textId="77777777" w:rsidR="00CF10A9" w:rsidRPr="006C53EA" w:rsidRDefault="00CF10A9" w:rsidP="00DF0D94">
            <w:pPr>
              <w:spacing w:after="0" w:line="240" w:lineRule="auto"/>
              <w:rPr>
                <w:rFonts w:asciiTheme="minorHAnsi" w:hAnsiTheme="minorHAnsi"/>
              </w:rPr>
            </w:pPr>
            <w:r>
              <w:rPr>
                <w:b/>
              </w:rPr>
              <w:t>Temporary.</w:t>
            </w:r>
            <w:r>
              <w:t xml:space="preserve"> Destroy when 2 years old</w:t>
            </w:r>
            <w:r w:rsidR="00F541D9">
              <w:t xml:space="preserve"> but longer retention is authorized if required for </w:t>
            </w:r>
            <w:r w:rsidR="00F541D9" w:rsidRPr="00480253">
              <w:t>business use.</w:t>
            </w:r>
          </w:p>
        </w:tc>
        <w:tc>
          <w:tcPr>
            <w:tcW w:w="1350" w:type="dxa"/>
          </w:tcPr>
          <w:p w14:paraId="006BF655" w14:textId="77777777" w:rsidR="00CF10A9" w:rsidRPr="006C53EA" w:rsidRDefault="00F16E46" w:rsidP="007E26A3">
            <w:pPr>
              <w:spacing w:after="0" w:line="240" w:lineRule="auto"/>
              <w:rPr>
                <w:rFonts w:asciiTheme="minorHAnsi" w:hAnsiTheme="minorHAnsi" w:cstheme="minorHAnsi"/>
              </w:rPr>
            </w:pPr>
            <w:r w:rsidRPr="006C53EA">
              <w:rPr>
                <w:rFonts w:asciiTheme="minorHAnsi" w:hAnsiTheme="minorHAnsi" w:cstheme="minorHAnsi"/>
              </w:rPr>
              <w:t>DAA-GRS-20</w:t>
            </w:r>
            <w:r>
              <w:rPr>
                <w:rFonts w:asciiTheme="minorHAnsi" w:hAnsiTheme="minorHAnsi" w:cstheme="minorHAnsi"/>
              </w:rPr>
              <w:t>16-0005</w:t>
            </w:r>
            <w:r w:rsidRPr="006C53EA">
              <w:rPr>
                <w:rFonts w:asciiTheme="minorHAnsi" w:hAnsiTheme="minorHAnsi" w:cstheme="minorHAnsi"/>
              </w:rPr>
              <w:t>-</w:t>
            </w:r>
            <w:r w:rsidR="007B726A" w:rsidRPr="007E26A3">
              <w:rPr>
                <w:rFonts w:asciiTheme="minorHAnsi" w:hAnsiTheme="minorHAnsi" w:cstheme="minorHAnsi"/>
              </w:rPr>
              <w:t>000</w:t>
            </w:r>
            <w:r w:rsidR="007E26A3">
              <w:rPr>
                <w:rFonts w:asciiTheme="minorHAnsi" w:hAnsiTheme="minorHAnsi" w:cstheme="minorHAnsi"/>
              </w:rPr>
              <w:t>6</w:t>
            </w:r>
          </w:p>
        </w:tc>
      </w:tr>
    </w:tbl>
    <w:p w14:paraId="4F349564" w14:textId="77777777" w:rsidR="00FC21AD" w:rsidRPr="006C53EA" w:rsidRDefault="00FC21AD" w:rsidP="007617F0">
      <w:pPr>
        <w:rPr>
          <w:rFonts w:asciiTheme="minorHAnsi" w:hAnsiTheme="minorHAnsi"/>
          <w:b/>
        </w:rPr>
      </w:pPr>
    </w:p>
    <w:sectPr w:rsidR="00FC21AD" w:rsidRPr="006C53EA" w:rsidSect="001A612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983" w14:textId="77777777" w:rsidR="00D23E72" w:rsidRDefault="00D23E72" w:rsidP="008F3172">
      <w:pPr>
        <w:spacing w:after="0" w:line="240" w:lineRule="auto"/>
      </w:pPr>
      <w:r>
        <w:separator/>
      </w:r>
    </w:p>
  </w:endnote>
  <w:endnote w:type="continuationSeparator" w:id="0">
    <w:p w14:paraId="2BF70E56" w14:textId="77777777" w:rsidR="00D23E72" w:rsidRDefault="00D23E72" w:rsidP="008F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959F" w14:textId="77777777" w:rsidR="001A6122" w:rsidRDefault="001A6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FCF8" w14:textId="77777777" w:rsidR="0048712D" w:rsidRDefault="00487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6FCE" w14:textId="77777777" w:rsidR="0048712D" w:rsidRDefault="0048712D">
    <w:pPr>
      <w:pStyle w:val="Footer"/>
    </w:pPr>
    <w:r>
      <w:tab/>
    </w:r>
    <w:r>
      <w:tab/>
    </w:r>
    <w:r>
      <w:tab/>
    </w:r>
    <w:r>
      <w:tab/>
    </w:r>
    <w:r>
      <w:tab/>
    </w:r>
    <w:r>
      <w:tab/>
    </w:r>
    <w:r>
      <w:tab/>
    </w:r>
    <w:r>
      <w:tab/>
    </w:r>
    <w:r>
      <w:tab/>
    </w:r>
  </w:p>
  <w:p w14:paraId="09CA1C2A" w14:textId="77777777" w:rsidR="0048712D" w:rsidRDefault="0048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3606" w14:textId="77777777" w:rsidR="00D23E72" w:rsidRDefault="00D23E72" w:rsidP="008F3172">
      <w:pPr>
        <w:spacing w:after="0" w:line="240" w:lineRule="auto"/>
      </w:pPr>
      <w:r>
        <w:separator/>
      </w:r>
    </w:p>
  </w:footnote>
  <w:footnote w:type="continuationSeparator" w:id="0">
    <w:p w14:paraId="518DED66" w14:textId="77777777" w:rsidR="00D23E72" w:rsidRDefault="00D23E72" w:rsidP="008F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3CAC" w14:textId="77777777" w:rsidR="001A6122" w:rsidRDefault="001A6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043F" w14:textId="35BF6BDC" w:rsidR="004633CB" w:rsidRPr="00A31178" w:rsidRDefault="001A6122" w:rsidP="004633CB">
    <w:pPr>
      <w:pStyle w:val="Header"/>
      <w:tabs>
        <w:tab w:val="clear" w:pos="9360"/>
        <w:tab w:val="right" w:pos="14400"/>
      </w:tabs>
      <w:rPr>
        <w:b/>
        <w:bCs/>
        <w:sz w:val="20"/>
        <w:szCs w:val="20"/>
      </w:rPr>
    </w:pPr>
    <w:r>
      <w:rPr>
        <w:b/>
        <w:bCs/>
        <w:sz w:val="20"/>
        <w:szCs w:val="20"/>
      </w:rPr>
      <w:t xml:space="preserve">Last updated in </w:t>
    </w:r>
    <w:r w:rsidR="004633CB" w:rsidRPr="00A31178">
      <w:rPr>
        <w:b/>
        <w:bCs/>
        <w:sz w:val="20"/>
        <w:szCs w:val="20"/>
      </w:rPr>
      <w:t xml:space="preserve">Transmittal No. </w:t>
    </w:r>
    <w:r w:rsidR="003F26B3">
      <w:rPr>
        <w:b/>
        <w:bCs/>
        <w:sz w:val="20"/>
        <w:szCs w:val="20"/>
      </w:rPr>
      <w:t>31</w:t>
    </w:r>
    <w:r w:rsidR="004633CB" w:rsidRPr="00A31178">
      <w:rPr>
        <w:b/>
        <w:bCs/>
        <w:sz w:val="20"/>
        <w:szCs w:val="20"/>
      </w:rPr>
      <w:tab/>
    </w:r>
    <w:r w:rsidR="004633CB" w:rsidRPr="00A31178">
      <w:rPr>
        <w:b/>
        <w:bCs/>
        <w:sz w:val="20"/>
        <w:szCs w:val="20"/>
      </w:rPr>
      <w:tab/>
      <w:t>General Records Schedule</w:t>
    </w:r>
    <w:r w:rsidR="00030019">
      <w:rPr>
        <w:b/>
        <w:bCs/>
        <w:sz w:val="20"/>
        <w:szCs w:val="20"/>
      </w:rPr>
      <w:t xml:space="preserve"> 6</w:t>
    </w:r>
    <w:r w:rsidR="004633CB">
      <w:rPr>
        <w:b/>
        <w:bCs/>
        <w:sz w:val="20"/>
        <w:szCs w:val="20"/>
      </w:rPr>
      <w:t>.4</w:t>
    </w:r>
  </w:p>
  <w:p w14:paraId="0E3E9598" w14:textId="77777777" w:rsidR="00BE7A52" w:rsidRDefault="00BE7A52" w:rsidP="00BE7A52">
    <w:pPr>
      <w:pStyle w:val="Header"/>
      <w:rPr>
        <w:b/>
        <w:bCs/>
        <w:sz w:val="20"/>
        <w:szCs w:val="20"/>
      </w:rPr>
    </w:pPr>
    <w:r>
      <w:rPr>
        <w:b/>
        <w:bCs/>
        <w:sz w:val="20"/>
        <w:szCs w:val="20"/>
      </w:rPr>
      <w:t>April 2020</w:t>
    </w:r>
  </w:p>
  <w:p w14:paraId="11FD9E3F" w14:textId="77777777" w:rsidR="0048712D" w:rsidRDefault="00487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736D" w14:textId="77777777" w:rsidR="004633CB" w:rsidRPr="00A31178" w:rsidRDefault="004633CB" w:rsidP="004633CB">
    <w:pPr>
      <w:pStyle w:val="Header"/>
      <w:tabs>
        <w:tab w:val="clear" w:pos="9360"/>
        <w:tab w:val="right" w:pos="14400"/>
      </w:tabs>
      <w:rPr>
        <w:b/>
        <w:bCs/>
        <w:sz w:val="20"/>
        <w:szCs w:val="20"/>
      </w:rPr>
    </w:pPr>
    <w:r w:rsidRPr="00A31178">
      <w:rPr>
        <w:b/>
        <w:bCs/>
        <w:sz w:val="20"/>
        <w:szCs w:val="20"/>
      </w:rPr>
      <w:t>Transmittal No. 2</w:t>
    </w:r>
    <w:r>
      <w:rPr>
        <w:b/>
        <w:bCs/>
        <w:sz w:val="20"/>
        <w:szCs w:val="20"/>
      </w:rPr>
      <w:t>7</w:t>
    </w:r>
    <w:r w:rsidRPr="00A31178">
      <w:rPr>
        <w:b/>
        <w:bCs/>
        <w:sz w:val="20"/>
        <w:szCs w:val="20"/>
      </w:rPr>
      <w:tab/>
    </w:r>
    <w:r w:rsidRPr="00A31178">
      <w:rPr>
        <w:b/>
        <w:bCs/>
        <w:sz w:val="20"/>
        <w:szCs w:val="20"/>
      </w:rPr>
      <w:tab/>
      <w:t>General Records Schedule</w:t>
    </w:r>
    <w:r>
      <w:rPr>
        <w:b/>
        <w:bCs/>
        <w:sz w:val="20"/>
        <w:szCs w:val="20"/>
      </w:rPr>
      <w:t xml:space="preserve"> 6.4</w:t>
    </w:r>
  </w:p>
  <w:p w14:paraId="6CE31588" w14:textId="77777777" w:rsidR="004633CB" w:rsidRDefault="004633CB" w:rsidP="004633CB">
    <w:pPr>
      <w:pStyle w:val="Header"/>
    </w:pPr>
    <w:r w:rsidRPr="00A92EC0">
      <w:rPr>
        <w:b/>
        <w:sz w:val="20"/>
        <w:szCs w:val="20"/>
      </w:rPr>
      <w:t>January 2017</w:t>
    </w:r>
  </w:p>
  <w:p w14:paraId="5EBDE2B0" w14:textId="77777777" w:rsidR="00C8443D" w:rsidRDefault="00C8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702D"/>
    <w:multiLevelType w:val="hybridMultilevel"/>
    <w:tmpl w:val="79869694"/>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 w15:restartNumberingAfterBreak="0">
    <w:nsid w:val="082C2E01"/>
    <w:multiLevelType w:val="hybridMultilevel"/>
    <w:tmpl w:val="505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5787"/>
    <w:multiLevelType w:val="hybridMultilevel"/>
    <w:tmpl w:val="4BE4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5F70"/>
    <w:multiLevelType w:val="hybridMultilevel"/>
    <w:tmpl w:val="AFC24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36334"/>
    <w:multiLevelType w:val="hybridMultilevel"/>
    <w:tmpl w:val="2BA2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69BD"/>
    <w:multiLevelType w:val="hybridMultilevel"/>
    <w:tmpl w:val="95C4F096"/>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6" w15:restartNumberingAfterBreak="0">
    <w:nsid w:val="1A6726DC"/>
    <w:multiLevelType w:val="hybridMultilevel"/>
    <w:tmpl w:val="FD8CA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520D3"/>
    <w:multiLevelType w:val="hybridMultilevel"/>
    <w:tmpl w:val="11486642"/>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8" w15:restartNumberingAfterBreak="0">
    <w:nsid w:val="1AA866CD"/>
    <w:multiLevelType w:val="hybridMultilevel"/>
    <w:tmpl w:val="27F093A6"/>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9" w15:restartNumberingAfterBreak="0">
    <w:nsid w:val="20035241"/>
    <w:multiLevelType w:val="multilevel"/>
    <w:tmpl w:val="7B40C5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2BF2AFB"/>
    <w:multiLevelType w:val="multilevel"/>
    <w:tmpl w:val="1734A7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3AD4F2E"/>
    <w:multiLevelType w:val="multilevel"/>
    <w:tmpl w:val="BDD2D81E"/>
    <w:lvl w:ilvl="0">
      <w:start w:val="1"/>
      <w:numFmt w:val="bullet"/>
      <w:lvlText w:val="●"/>
      <w:lvlJc w:val="left"/>
      <w:pPr>
        <w:ind w:left="750" w:firstLine="39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12" w15:restartNumberingAfterBreak="0">
    <w:nsid w:val="2B2E375D"/>
    <w:multiLevelType w:val="hybridMultilevel"/>
    <w:tmpl w:val="61D4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E909C8"/>
    <w:multiLevelType w:val="hybridMultilevel"/>
    <w:tmpl w:val="DCB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D6A62"/>
    <w:multiLevelType w:val="hybridMultilevel"/>
    <w:tmpl w:val="0E1A6928"/>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15:restartNumberingAfterBreak="0">
    <w:nsid w:val="2EFC3712"/>
    <w:multiLevelType w:val="hybridMultilevel"/>
    <w:tmpl w:val="FA6000AE"/>
    <w:lvl w:ilvl="0" w:tplc="E3F4C89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330C02D9"/>
    <w:multiLevelType w:val="hybridMultilevel"/>
    <w:tmpl w:val="C770AA3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17" w15:restartNumberingAfterBreak="0">
    <w:nsid w:val="34FB46A5"/>
    <w:multiLevelType w:val="hybridMultilevel"/>
    <w:tmpl w:val="74A6A2C0"/>
    <w:lvl w:ilvl="0" w:tplc="25C2DC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3866644C"/>
    <w:multiLevelType w:val="multilevel"/>
    <w:tmpl w:val="3B9AE3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2574B5D"/>
    <w:multiLevelType w:val="multilevel"/>
    <w:tmpl w:val="EA6E0B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35E2949"/>
    <w:multiLevelType w:val="hybridMultilevel"/>
    <w:tmpl w:val="33AE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540E1"/>
    <w:multiLevelType w:val="hybridMultilevel"/>
    <w:tmpl w:val="53B227C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2" w15:restartNumberingAfterBreak="0">
    <w:nsid w:val="46E50CAF"/>
    <w:multiLevelType w:val="hybridMultilevel"/>
    <w:tmpl w:val="6F1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D1936"/>
    <w:multiLevelType w:val="hybridMultilevel"/>
    <w:tmpl w:val="D0388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E186C"/>
    <w:multiLevelType w:val="hybridMultilevel"/>
    <w:tmpl w:val="ABB4B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D719BD"/>
    <w:multiLevelType w:val="hybridMultilevel"/>
    <w:tmpl w:val="E5162706"/>
    <w:lvl w:ilvl="0" w:tplc="98800576">
      <w:start w:val="1"/>
      <w:numFmt w:val="decimal"/>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538A14A1"/>
    <w:multiLevelType w:val="hybridMultilevel"/>
    <w:tmpl w:val="42F8978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15:restartNumberingAfterBreak="0">
    <w:nsid w:val="55FC76B4"/>
    <w:multiLevelType w:val="hybridMultilevel"/>
    <w:tmpl w:val="478634B2"/>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8" w15:restartNumberingAfterBreak="0">
    <w:nsid w:val="5D7C2038"/>
    <w:multiLevelType w:val="hybridMultilevel"/>
    <w:tmpl w:val="D49CE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CB63C8"/>
    <w:multiLevelType w:val="hybridMultilevel"/>
    <w:tmpl w:val="640EE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0B4CBF"/>
    <w:multiLevelType w:val="hybridMultilevel"/>
    <w:tmpl w:val="189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87612"/>
    <w:multiLevelType w:val="hybridMultilevel"/>
    <w:tmpl w:val="B80C492A"/>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32" w15:restartNumberingAfterBreak="0">
    <w:nsid w:val="633A7FF6"/>
    <w:multiLevelType w:val="hybridMultilevel"/>
    <w:tmpl w:val="CA6C0D96"/>
    <w:lvl w:ilvl="0" w:tplc="04090003">
      <w:start w:val="1"/>
      <w:numFmt w:val="bullet"/>
      <w:lvlText w:val="o"/>
      <w:lvlJc w:val="left"/>
      <w:pPr>
        <w:ind w:left="1235" w:hanging="360"/>
      </w:pPr>
      <w:rPr>
        <w:rFonts w:ascii="Courier New" w:hAnsi="Courier New" w:cs="Courier New"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33" w15:restartNumberingAfterBreak="0">
    <w:nsid w:val="651A5F77"/>
    <w:multiLevelType w:val="hybridMultilevel"/>
    <w:tmpl w:val="55540C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BF6AF0"/>
    <w:multiLevelType w:val="hybridMultilevel"/>
    <w:tmpl w:val="4DC2626C"/>
    <w:lvl w:ilvl="0" w:tplc="AC22233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5" w15:restartNumberingAfterBreak="0">
    <w:nsid w:val="67435430"/>
    <w:multiLevelType w:val="hybridMultilevel"/>
    <w:tmpl w:val="432EA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663F90"/>
    <w:multiLevelType w:val="hybridMultilevel"/>
    <w:tmpl w:val="6D86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6310E"/>
    <w:multiLevelType w:val="hybridMultilevel"/>
    <w:tmpl w:val="404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D48CF"/>
    <w:multiLevelType w:val="hybridMultilevel"/>
    <w:tmpl w:val="8D06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A66C5"/>
    <w:multiLevelType w:val="hybridMultilevel"/>
    <w:tmpl w:val="E1645712"/>
    <w:lvl w:ilvl="0" w:tplc="A2B46E46">
      <w:start w:val="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5"/>
  </w:num>
  <w:num w:numId="3">
    <w:abstractNumId w:val="28"/>
  </w:num>
  <w:num w:numId="4">
    <w:abstractNumId w:val="24"/>
  </w:num>
  <w:num w:numId="5">
    <w:abstractNumId w:val="20"/>
  </w:num>
  <w:num w:numId="6">
    <w:abstractNumId w:val="3"/>
  </w:num>
  <w:num w:numId="7">
    <w:abstractNumId w:val="29"/>
  </w:num>
  <w:num w:numId="8">
    <w:abstractNumId w:val="38"/>
  </w:num>
  <w:num w:numId="9">
    <w:abstractNumId w:val="22"/>
  </w:num>
  <w:num w:numId="10">
    <w:abstractNumId w:val="37"/>
  </w:num>
  <w:num w:numId="11">
    <w:abstractNumId w:val="1"/>
  </w:num>
  <w:num w:numId="12">
    <w:abstractNumId w:val="17"/>
  </w:num>
  <w:num w:numId="13">
    <w:abstractNumId w:val="25"/>
  </w:num>
  <w:num w:numId="14">
    <w:abstractNumId w:val="34"/>
  </w:num>
  <w:num w:numId="15">
    <w:abstractNumId w:val="15"/>
  </w:num>
  <w:num w:numId="16">
    <w:abstractNumId w:val="39"/>
  </w:num>
  <w:num w:numId="17">
    <w:abstractNumId w:val="33"/>
  </w:num>
  <w:num w:numId="18">
    <w:abstractNumId w:val="6"/>
  </w:num>
  <w:num w:numId="19">
    <w:abstractNumId w:val="12"/>
  </w:num>
  <w:num w:numId="20">
    <w:abstractNumId w:val="2"/>
  </w:num>
  <w:num w:numId="21">
    <w:abstractNumId w:val="13"/>
  </w:num>
  <w:num w:numId="22">
    <w:abstractNumId w:val="31"/>
  </w:num>
  <w:num w:numId="23">
    <w:abstractNumId w:val="11"/>
  </w:num>
  <w:num w:numId="24">
    <w:abstractNumId w:val="16"/>
  </w:num>
  <w:num w:numId="25">
    <w:abstractNumId w:val="30"/>
  </w:num>
  <w:num w:numId="26">
    <w:abstractNumId w:val="10"/>
  </w:num>
  <w:num w:numId="27">
    <w:abstractNumId w:val="23"/>
  </w:num>
  <w:num w:numId="28">
    <w:abstractNumId w:val="18"/>
  </w:num>
  <w:num w:numId="29">
    <w:abstractNumId w:val="9"/>
  </w:num>
  <w:num w:numId="30">
    <w:abstractNumId w:val="27"/>
  </w:num>
  <w:num w:numId="31">
    <w:abstractNumId w:val="14"/>
  </w:num>
  <w:num w:numId="32">
    <w:abstractNumId w:val="19"/>
  </w:num>
  <w:num w:numId="33">
    <w:abstractNumId w:val="5"/>
  </w:num>
  <w:num w:numId="34">
    <w:abstractNumId w:val="4"/>
  </w:num>
  <w:num w:numId="35">
    <w:abstractNumId w:val="0"/>
  </w:num>
  <w:num w:numId="36">
    <w:abstractNumId w:val="8"/>
  </w:num>
  <w:num w:numId="37">
    <w:abstractNumId w:val="21"/>
  </w:num>
  <w:num w:numId="38">
    <w:abstractNumId w:val="26"/>
  </w:num>
  <w:num w:numId="39">
    <w:abstractNumId w:val="3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72"/>
    <w:rsid w:val="00012CD7"/>
    <w:rsid w:val="00015D7D"/>
    <w:rsid w:val="000172F3"/>
    <w:rsid w:val="00022AAF"/>
    <w:rsid w:val="00030019"/>
    <w:rsid w:val="0003150B"/>
    <w:rsid w:val="00040FBD"/>
    <w:rsid w:val="000429E1"/>
    <w:rsid w:val="0005016B"/>
    <w:rsid w:val="00076098"/>
    <w:rsid w:val="00084624"/>
    <w:rsid w:val="00093079"/>
    <w:rsid w:val="00094B92"/>
    <w:rsid w:val="000C0B76"/>
    <w:rsid w:val="000E15C3"/>
    <w:rsid w:val="000F569D"/>
    <w:rsid w:val="001074FB"/>
    <w:rsid w:val="00115BFA"/>
    <w:rsid w:val="001236E5"/>
    <w:rsid w:val="001245F9"/>
    <w:rsid w:val="0012681F"/>
    <w:rsid w:val="00141049"/>
    <w:rsid w:val="00141F8E"/>
    <w:rsid w:val="00167E4A"/>
    <w:rsid w:val="00186F35"/>
    <w:rsid w:val="00190785"/>
    <w:rsid w:val="001929E8"/>
    <w:rsid w:val="001A1D25"/>
    <w:rsid w:val="001A6122"/>
    <w:rsid w:val="001C143F"/>
    <w:rsid w:val="001D2911"/>
    <w:rsid w:val="001E0A24"/>
    <w:rsid w:val="001E7A68"/>
    <w:rsid w:val="001F1700"/>
    <w:rsid w:val="001F2529"/>
    <w:rsid w:val="0021295A"/>
    <w:rsid w:val="00232C3C"/>
    <w:rsid w:val="002335FD"/>
    <w:rsid w:val="00233E0A"/>
    <w:rsid w:val="00245F61"/>
    <w:rsid w:val="00256246"/>
    <w:rsid w:val="00257247"/>
    <w:rsid w:val="00264B9A"/>
    <w:rsid w:val="00272589"/>
    <w:rsid w:val="002736CC"/>
    <w:rsid w:val="00275C5B"/>
    <w:rsid w:val="00286849"/>
    <w:rsid w:val="00290E4E"/>
    <w:rsid w:val="00291F93"/>
    <w:rsid w:val="00297C53"/>
    <w:rsid w:val="002A319B"/>
    <w:rsid w:val="002B0C8A"/>
    <w:rsid w:val="002B7015"/>
    <w:rsid w:val="002B77B8"/>
    <w:rsid w:val="002C45B8"/>
    <w:rsid w:val="002C7DA5"/>
    <w:rsid w:val="002D2643"/>
    <w:rsid w:val="002D2975"/>
    <w:rsid w:val="002D534D"/>
    <w:rsid w:val="002F2AA8"/>
    <w:rsid w:val="002F753C"/>
    <w:rsid w:val="00344A33"/>
    <w:rsid w:val="00361720"/>
    <w:rsid w:val="00366EE0"/>
    <w:rsid w:val="00384A41"/>
    <w:rsid w:val="00393EA0"/>
    <w:rsid w:val="003A3AA3"/>
    <w:rsid w:val="003B1801"/>
    <w:rsid w:val="003C45E1"/>
    <w:rsid w:val="003D0136"/>
    <w:rsid w:val="003E030E"/>
    <w:rsid w:val="003E24C8"/>
    <w:rsid w:val="003F26B3"/>
    <w:rsid w:val="00416EC6"/>
    <w:rsid w:val="00433F29"/>
    <w:rsid w:val="004633CB"/>
    <w:rsid w:val="00475716"/>
    <w:rsid w:val="00480253"/>
    <w:rsid w:val="00485D96"/>
    <w:rsid w:val="00486288"/>
    <w:rsid w:val="0048712D"/>
    <w:rsid w:val="00490567"/>
    <w:rsid w:val="004A6F9A"/>
    <w:rsid w:val="004B0044"/>
    <w:rsid w:val="004C06B9"/>
    <w:rsid w:val="004C7901"/>
    <w:rsid w:val="004C7921"/>
    <w:rsid w:val="004D1C7D"/>
    <w:rsid w:val="004D3181"/>
    <w:rsid w:val="004D42E5"/>
    <w:rsid w:val="004D58CE"/>
    <w:rsid w:val="004D6EF1"/>
    <w:rsid w:val="004E0187"/>
    <w:rsid w:val="004E2C46"/>
    <w:rsid w:val="004F4CD5"/>
    <w:rsid w:val="00521DCB"/>
    <w:rsid w:val="0053186C"/>
    <w:rsid w:val="00537A85"/>
    <w:rsid w:val="00541B29"/>
    <w:rsid w:val="00542BD7"/>
    <w:rsid w:val="00551C54"/>
    <w:rsid w:val="005520D0"/>
    <w:rsid w:val="00552BD0"/>
    <w:rsid w:val="00564C64"/>
    <w:rsid w:val="0056768E"/>
    <w:rsid w:val="0058392A"/>
    <w:rsid w:val="00587E83"/>
    <w:rsid w:val="00587EFB"/>
    <w:rsid w:val="005949AD"/>
    <w:rsid w:val="005B40C3"/>
    <w:rsid w:val="005B61F3"/>
    <w:rsid w:val="005B7823"/>
    <w:rsid w:val="005C21F7"/>
    <w:rsid w:val="005D5863"/>
    <w:rsid w:val="005E13B3"/>
    <w:rsid w:val="00614B49"/>
    <w:rsid w:val="00617C06"/>
    <w:rsid w:val="006251AF"/>
    <w:rsid w:val="00632350"/>
    <w:rsid w:val="0063599D"/>
    <w:rsid w:val="00661190"/>
    <w:rsid w:val="00661899"/>
    <w:rsid w:val="00667962"/>
    <w:rsid w:val="00670458"/>
    <w:rsid w:val="006849C7"/>
    <w:rsid w:val="00685EB9"/>
    <w:rsid w:val="00693DB6"/>
    <w:rsid w:val="006972C8"/>
    <w:rsid w:val="006A3355"/>
    <w:rsid w:val="006B31EB"/>
    <w:rsid w:val="006C40B9"/>
    <w:rsid w:val="006C53EA"/>
    <w:rsid w:val="006D1455"/>
    <w:rsid w:val="006F3C20"/>
    <w:rsid w:val="00700694"/>
    <w:rsid w:val="0072529C"/>
    <w:rsid w:val="00742F01"/>
    <w:rsid w:val="00742FC0"/>
    <w:rsid w:val="0075199A"/>
    <w:rsid w:val="00761183"/>
    <w:rsid w:val="007617F0"/>
    <w:rsid w:val="00763E19"/>
    <w:rsid w:val="00783CD5"/>
    <w:rsid w:val="0079156E"/>
    <w:rsid w:val="007A1E35"/>
    <w:rsid w:val="007B726A"/>
    <w:rsid w:val="007C27B1"/>
    <w:rsid w:val="007C2B5F"/>
    <w:rsid w:val="007E26A3"/>
    <w:rsid w:val="007F2BA6"/>
    <w:rsid w:val="007F3C9F"/>
    <w:rsid w:val="007F4FCC"/>
    <w:rsid w:val="007F6C26"/>
    <w:rsid w:val="00800205"/>
    <w:rsid w:val="0080238B"/>
    <w:rsid w:val="008048B6"/>
    <w:rsid w:val="00804ADA"/>
    <w:rsid w:val="008067C0"/>
    <w:rsid w:val="00814AEE"/>
    <w:rsid w:val="008340C9"/>
    <w:rsid w:val="00842A84"/>
    <w:rsid w:val="00843809"/>
    <w:rsid w:val="0084398E"/>
    <w:rsid w:val="008531A4"/>
    <w:rsid w:val="00857C18"/>
    <w:rsid w:val="00877D44"/>
    <w:rsid w:val="008A4C75"/>
    <w:rsid w:val="008A5366"/>
    <w:rsid w:val="008C424A"/>
    <w:rsid w:val="008E14E9"/>
    <w:rsid w:val="008F3172"/>
    <w:rsid w:val="0090533F"/>
    <w:rsid w:val="009073C5"/>
    <w:rsid w:val="009161A3"/>
    <w:rsid w:val="009237B0"/>
    <w:rsid w:val="00934C33"/>
    <w:rsid w:val="00934E59"/>
    <w:rsid w:val="009507D5"/>
    <w:rsid w:val="00960119"/>
    <w:rsid w:val="00966DEF"/>
    <w:rsid w:val="00967B53"/>
    <w:rsid w:val="00967E5E"/>
    <w:rsid w:val="00981582"/>
    <w:rsid w:val="00993D65"/>
    <w:rsid w:val="00994A46"/>
    <w:rsid w:val="009B697F"/>
    <w:rsid w:val="009B7A7A"/>
    <w:rsid w:val="009C4E38"/>
    <w:rsid w:val="009E3D41"/>
    <w:rsid w:val="009E45C5"/>
    <w:rsid w:val="009F4447"/>
    <w:rsid w:val="00A36C2A"/>
    <w:rsid w:val="00A5354B"/>
    <w:rsid w:val="00A70588"/>
    <w:rsid w:val="00A81C79"/>
    <w:rsid w:val="00AA115D"/>
    <w:rsid w:val="00AB3B99"/>
    <w:rsid w:val="00AC095D"/>
    <w:rsid w:val="00AF5A6B"/>
    <w:rsid w:val="00B07F44"/>
    <w:rsid w:val="00B1000E"/>
    <w:rsid w:val="00B2111E"/>
    <w:rsid w:val="00B23194"/>
    <w:rsid w:val="00B31E98"/>
    <w:rsid w:val="00B52B9F"/>
    <w:rsid w:val="00B56974"/>
    <w:rsid w:val="00B64437"/>
    <w:rsid w:val="00B73AFA"/>
    <w:rsid w:val="00B75151"/>
    <w:rsid w:val="00B75E2E"/>
    <w:rsid w:val="00B804F9"/>
    <w:rsid w:val="00B82776"/>
    <w:rsid w:val="00B958F9"/>
    <w:rsid w:val="00BD5705"/>
    <w:rsid w:val="00BD7CFC"/>
    <w:rsid w:val="00BE7A52"/>
    <w:rsid w:val="00BF4C08"/>
    <w:rsid w:val="00BF4FFB"/>
    <w:rsid w:val="00C066BF"/>
    <w:rsid w:val="00C06B48"/>
    <w:rsid w:val="00C22CA6"/>
    <w:rsid w:val="00C27337"/>
    <w:rsid w:val="00C42156"/>
    <w:rsid w:val="00C50525"/>
    <w:rsid w:val="00C8304F"/>
    <w:rsid w:val="00C8443D"/>
    <w:rsid w:val="00C84706"/>
    <w:rsid w:val="00CB2C70"/>
    <w:rsid w:val="00CC0BCA"/>
    <w:rsid w:val="00CD26DC"/>
    <w:rsid w:val="00CD5F34"/>
    <w:rsid w:val="00CE2938"/>
    <w:rsid w:val="00CF10A9"/>
    <w:rsid w:val="00CF2A9C"/>
    <w:rsid w:val="00CF3DC6"/>
    <w:rsid w:val="00D06EC0"/>
    <w:rsid w:val="00D10B88"/>
    <w:rsid w:val="00D153F8"/>
    <w:rsid w:val="00D156A6"/>
    <w:rsid w:val="00D16512"/>
    <w:rsid w:val="00D167E2"/>
    <w:rsid w:val="00D23E72"/>
    <w:rsid w:val="00D24A6F"/>
    <w:rsid w:val="00D470E9"/>
    <w:rsid w:val="00D57466"/>
    <w:rsid w:val="00D60314"/>
    <w:rsid w:val="00D75A83"/>
    <w:rsid w:val="00D769E2"/>
    <w:rsid w:val="00DC68B5"/>
    <w:rsid w:val="00DD3893"/>
    <w:rsid w:val="00DE3EDD"/>
    <w:rsid w:val="00DE4BE2"/>
    <w:rsid w:val="00DF0D94"/>
    <w:rsid w:val="00DF4ADA"/>
    <w:rsid w:val="00E05B8B"/>
    <w:rsid w:val="00E120AA"/>
    <w:rsid w:val="00E22508"/>
    <w:rsid w:val="00E259F8"/>
    <w:rsid w:val="00E31F64"/>
    <w:rsid w:val="00E3200F"/>
    <w:rsid w:val="00E32330"/>
    <w:rsid w:val="00E36346"/>
    <w:rsid w:val="00E372B1"/>
    <w:rsid w:val="00E4039B"/>
    <w:rsid w:val="00E4085B"/>
    <w:rsid w:val="00E425DC"/>
    <w:rsid w:val="00E43F57"/>
    <w:rsid w:val="00E44DFC"/>
    <w:rsid w:val="00E73705"/>
    <w:rsid w:val="00E907F5"/>
    <w:rsid w:val="00E9088C"/>
    <w:rsid w:val="00E95798"/>
    <w:rsid w:val="00EA374F"/>
    <w:rsid w:val="00EA4C66"/>
    <w:rsid w:val="00EC430C"/>
    <w:rsid w:val="00ED4237"/>
    <w:rsid w:val="00EE257D"/>
    <w:rsid w:val="00F01A0A"/>
    <w:rsid w:val="00F05663"/>
    <w:rsid w:val="00F16433"/>
    <w:rsid w:val="00F16E46"/>
    <w:rsid w:val="00F305FA"/>
    <w:rsid w:val="00F541D9"/>
    <w:rsid w:val="00FA1738"/>
    <w:rsid w:val="00FA696C"/>
    <w:rsid w:val="00FB30B9"/>
    <w:rsid w:val="00FB37C8"/>
    <w:rsid w:val="00FB4805"/>
    <w:rsid w:val="00FC21AD"/>
    <w:rsid w:val="00FD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D752"/>
  <w15:docId w15:val="{D0350AC5-E0C8-4E8E-A7E2-349F9AEB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72"/>
    <w:pPr>
      <w:ind w:left="720"/>
      <w:contextualSpacing/>
    </w:pPr>
  </w:style>
  <w:style w:type="paragraph" w:styleId="FootnoteText">
    <w:name w:val="footnote text"/>
    <w:basedOn w:val="Normal"/>
    <w:link w:val="FootnoteTextChar"/>
    <w:uiPriority w:val="99"/>
    <w:semiHidden/>
    <w:unhideWhenUsed/>
    <w:rsid w:val="008F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72"/>
    <w:rPr>
      <w:sz w:val="20"/>
      <w:szCs w:val="20"/>
    </w:rPr>
  </w:style>
  <w:style w:type="character" w:styleId="FootnoteReference">
    <w:name w:val="footnote reference"/>
    <w:basedOn w:val="DefaultParagraphFont"/>
    <w:uiPriority w:val="99"/>
    <w:semiHidden/>
    <w:unhideWhenUsed/>
    <w:rsid w:val="008F3172"/>
    <w:rPr>
      <w:vertAlign w:val="superscript"/>
    </w:rPr>
  </w:style>
  <w:style w:type="paragraph" w:styleId="CommentText">
    <w:name w:val="annotation text"/>
    <w:basedOn w:val="Normal"/>
    <w:link w:val="CommentTextChar"/>
    <w:uiPriority w:val="99"/>
    <w:semiHidden/>
    <w:unhideWhenUsed/>
    <w:rsid w:val="00783CD5"/>
    <w:rPr>
      <w:sz w:val="20"/>
      <w:szCs w:val="20"/>
    </w:rPr>
  </w:style>
  <w:style w:type="character" w:customStyle="1" w:styleId="CommentTextChar">
    <w:name w:val="Comment Text Char"/>
    <w:basedOn w:val="DefaultParagraphFont"/>
    <w:link w:val="CommentText"/>
    <w:uiPriority w:val="99"/>
    <w:semiHidden/>
    <w:rsid w:val="00783CD5"/>
  </w:style>
  <w:style w:type="paragraph" w:styleId="CommentSubject">
    <w:name w:val="annotation subject"/>
    <w:basedOn w:val="CommentText"/>
    <w:next w:val="CommentText"/>
    <w:link w:val="CommentSubjectChar"/>
    <w:uiPriority w:val="99"/>
    <w:semiHidden/>
    <w:unhideWhenUsed/>
    <w:rsid w:val="00783CD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83CD5"/>
    <w:rPr>
      <w:rFonts w:ascii="Times New Roman" w:eastAsia="Times New Roman" w:hAnsi="Times New Roman"/>
      <w:b/>
      <w:bCs/>
    </w:rPr>
  </w:style>
  <w:style w:type="character" w:styleId="Strong">
    <w:name w:val="Strong"/>
    <w:basedOn w:val="DefaultParagraphFont"/>
    <w:uiPriority w:val="22"/>
    <w:qFormat/>
    <w:rsid w:val="00552BD0"/>
    <w:rPr>
      <w:b/>
      <w:bCs/>
    </w:rPr>
  </w:style>
  <w:style w:type="character" w:styleId="Emphasis">
    <w:name w:val="Emphasis"/>
    <w:basedOn w:val="DefaultParagraphFont"/>
    <w:uiPriority w:val="20"/>
    <w:qFormat/>
    <w:rsid w:val="00B804F9"/>
    <w:rPr>
      <w:i/>
      <w:iCs/>
    </w:rPr>
  </w:style>
  <w:style w:type="character" w:styleId="CommentReference">
    <w:name w:val="annotation reference"/>
    <w:basedOn w:val="DefaultParagraphFont"/>
    <w:uiPriority w:val="99"/>
    <w:semiHidden/>
    <w:unhideWhenUsed/>
    <w:rsid w:val="001F2529"/>
    <w:rPr>
      <w:sz w:val="16"/>
      <w:szCs w:val="16"/>
    </w:rPr>
  </w:style>
  <w:style w:type="paragraph" w:styleId="BalloonText">
    <w:name w:val="Balloon Text"/>
    <w:basedOn w:val="Normal"/>
    <w:link w:val="BalloonTextChar"/>
    <w:uiPriority w:val="99"/>
    <w:semiHidden/>
    <w:unhideWhenUsed/>
    <w:rsid w:val="001F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29"/>
    <w:rPr>
      <w:rFonts w:ascii="Tahoma" w:hAnsi="Tahoma" w:cs="Tahoma"/>
      <w:sz w:val="16"/>
      <w:szCs w:val="16"/>
    </w:rPr>
  </w:style>
  <w:style w:type="paragraph" w:customStyle="1" w:styleId="Blockquote">
    <w:name w:val="Blockquote"/>
    <w:basedOn w:val="Normal"/>
    <w:uiPriority w:val="99"/>
    <w:rsid w:val="006849C7"/>
    <w:pPr>
      <w:spacing w:before="100" w:after="100" w:line="240" w:lineRule="auto"/>
      <w:ind w:left="360" w:right="360"/>
    </w:pPr>
    <w:rPr>
      <w:rFonts w:ascii="Times New Roman" w:eastAsia="Times New Roman" w:hAnsi="Times New Roman"/>
      <w:sz w:val="24"/>
      <w:szCs w:val="24"/>
    </w:rPr>
  </w:style>
  <w:style w:type="character" w:customStyle="1" w:styleId="description">
    <w:name w:val="description"/>
    <w:basedOn w:val="DefaultParagraphFont"/>
    <w:rsid w:val="009B7A7A"/>
  </w:style>
  <w:style w:type="paragraph" w:customStyle="1" w:styleId="Default">
    <w:name w:val="Default"/>
    <w:rsid w:val="00614B49"/>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3E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C8"/>
    <w:rPr>
      <w:sz w:val="22"/>
      <w:szCs w:val="22"/>
    </w:rPr>
  </w:style>
  <w:style w:type="paragraph" w:styleId="Footer">
    <w:name w:val="footer"/>
    <w:basedOn w:val="Normal"/>
    <w:link w:val="FooterChar"/>
    <w:uiPriority w:val="99"/>
    <w:unhideWhenUsed/>
    <w:rsid w:val="003E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C8"/>
    <w:rPr>
      <w:sz w:val="22"/>
      <w:szCs w:val="22"/>
    </w:rPr>
  </w:style>
  <w:style w:type="paragraph" w:customStyle="1" w:styleId="Normal1">
    <w:name w:val="Normal1"/>
    <w:rsid w:val="00433F29"/>
    <w:pPr>
      <w:spacing w:after="200" w:line="276"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72C4-BD12-412F-BE34-C27CBF75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ARiley</dc:creator>
  <cp:lastModifiedBy>Katherene Kim</cp:lastModifiedBy>
  <cp:revision>2</cp:revision>
  <dcterms:created xsi:type="dcterms:W3CDTF">2022-02-28T15:07:00Z</dcterms:created>
  <dcterms:modified xsi:type="dcterms:W3CDTF">2022-02-28T15:07:00Z</dcterms:modified>
</cp:coreProperties>
</file>